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635"/>
        <w:gridCol w:w="2405"/>
        <w:gridCol w:w="2534"/>
        <w:gridCol w:w="2280"/>
      </w:tblGrid>
      <w:tr w:rsidR="009706A4" w:rsidRPr="00DC7B00" w:rsidTr="009706A4">
        <w:trPr>
          <w:trHeight w:val="451"/>
        </w:trPr>
        <w:tc>
          <w:tcPr>
            <w:tcW w:w="2635" w:type="dxa"/>
          </w:tcPr>
          <w:p w:rsidR="009706A4" w:rsidRDefault="009706A4" w:rsidP="00256CEC">
            <w:pPr>
              <w:textAlignment w:val="baseline"/>
              <w:outlineLvl w:val="0"/>
              <w:rPr>
                <w:rFonts w:ascii="Arial" w:hAnsi="Arial" w:cs="Arial"/>
                <w:b/>
                <w:noProof/>
                <w:color w:val="FF0000"/>
                <w:sz w:val="20"/>
              </w:rPr>
            </w:pPr>
            <w:r w:rsidRPr="00622981">
              <w:rPr>
                <w:rFonts w:ascii="Arial" w:hAnsi="Arial" w:cs="Arial"/>
                <w:b/>
                <w:noProof/>
                <w:color w:val="FF0000"/>
                <w:sz w:val="20"/>
              </w:rPr>
              <w:t>Testo di partenza</w:t>
            </w:r>
          </w:p>
          <w:p w:rsidR="009706A4" w:rsidRPr="009706A4" w:rsidRDefault="009706A4" w:rsidP="00256CEC">
            <w:pPr>
              <w:textAlignment w:val="baseline"/>
              <w:outlineLvl w:val="0"/>
              <w:rPr>
                <w:rFonts w:ascii="Times New Roman" w:eastAsia="Times New Roman" w:hAnsi="Times New Roman" w:cs="Times New Roman"/>
                <w:b/>
                <w:bCs/>
                <w:color w:val="000000"/>
                <w:spacing w:val="-6"/>
                <w:kern w:val="36"/>
                <w:sz w:val="20"/>
                <w:szCs w:val="20"/>
                <w:lang w:eastAsia="it-IT"/>
              </w:rPr>
            </w:pPr>
            <w:r w:rsidRPr="009706A4">
              <w:rPr>
                <w:rFonts w:ascii="Arial" w:hAnsi="Arial" w:cs="Arial"/>
                <w:b/>
                <w:noProof/>
                <w:color w:val="FF0000"/>
                <w:sz w:val="20"/>
                <w:highlight w:val="yellow"/>
              </w:rPr>
              <w:t>*NON tradurre le parti evidenziate in giallo</w:t>
            </w:r>
          </w:p>
        </w:tc>
        <w:tc>
          <w:tcPr>
            <w:tcW w:w="2405" w:type="dxa"/>
          </w:tcPr>
          <w:p w:rsidR="009706A4" w:rsidRDefault="009706A4" w:rsidP="00256CEC">
            <w:pPr>
              <w:textAlignment w:val="baseline"/>
              <w:outlineLvl w:val="0"/>
              <w:rPr>
                <w:rFonts w:ascii="Times New Roman" w:eastAsia="Times New Roman" w:hAnsi="Times New Roman" w:cs="Times New Roman"/>
                <w:b/>
                <w:bCs/>
                <w:color w:val="000000"/>
                <w:spacing w:val="-6"/>
                <w:kern w:val="36"/>
                <w:sz w:val="20"/>
                <w:szCs w:val="20"/>
                <w:lang w:val="en-US" w:eastAsia="it-IT"/>
              </w:rPr>
            </w:pPr>
            <w:r w:rsidRPr="00F74B16">
              <w:rPr>
                <w:rFonts w:ascii="Arial" w:hAnsi="Arial" w:cs="Arial"/>
                <w:b/>
                <w:noProof/>
                <w:color w:val="FF0000"/>
                <w:sz w:val="20"/>
              </w:rPr>
              <w:t>Testo tradotto dal candidato</w:t>
            </w:r>
          </w:p>
        </w:tc>
        <w:tc>
          <w:tcPr>
            <w:tcW w:w="2534" w:type="dxa"/>
          </w:tcPr>
          <w:p w:rsidR="009706A4" w:rsidRPr="00DC7B00" w:rsidRDefault="009706A4" w:rsidP="00256CEC">
            <w:pPr>
              <w:textAlignment w:val="baseline"/>
              <w:outlineLvl w:val="0"/>
              <w:rPr>
                <w:rFonts w:ascii="Times New Roman" w:eastAsia="Times New Roman" w:hAnsi="Times New Roman" w:cs="Times New Roman"/>
                <w:b/>
                <w:bCs/>
                <w:color w:val="000000"/>
                <w:spacing w:val="-6"/>
                <w:kern w:val="36"/>
                <w:sz w:val="20"/>
                <w:szCs w:val="20"/>
                <w:lang w:eastAsia="it-IT"/>
              </w:rPr>
            </w:pPr>
            <w:r w:rsidRPr="00412403">
              <w:rPr>
                <w:rFonts w:ascii="Arial" w:hAnsi="Arial" w:cs="Arial"/>
                <w:b/>
                <w:noProof/>
                <w:color w:val="FF0000"/>
                <w:sz w:val="20"/>
              </w:rPr>
              <w:t>Spazio a disposizione del correttore</w:t>
            </w:r>
          </w:p>
        </w:tc>
        <w:tc>
          <w:tcPr>
            <w:tcW w:w="2280" w:type="dxa"/>
          </w:tcPr>
          <w:p w:rsidR="009706A4" w:rsidRPr="00DC7B00" w:rsidRDefault="009706A4" w:rsidP="00256CEC">
            <w:pPr>
              <w:textAlignment w:val="baseline"/>
              <w:outlineLvl w:val="0"/>
              <w:rPr>
                <w:rFonts w:ascii="Times New Roman" w:eastAsia="Times New Roman" w:hAnsi="Times New Roman" w:cs="Times New Roman"/>
                <w:b/>
                <w:bCs/>
                <w:color w:val="000000"/>
                <w:spacing w:val="-6"/>
                <w:kern w:val="36"/>
                <w:sz w:val="20"/>
                <w:szCs w:val="20"/>
                <w:lang w:eastAsia="it-IT"/>
              </w:rPr>
            </w:pPr>
            <w:r w:rsidRPr="00412403">
              <w:rPr>
                <w:rFonts w:ascii="Arial" w:hAnsi="Arial" w:cs="Arial"/>
                <w:b/>
                <w:noProof/>
                <w:color w:val="FF0000"/>
                <w:sz w:val="16"/>
                <w:szCs w:val="16"/>
              </w:rPr>
              <w:t>Punteggi</w:t>
            </w:r>
          </w:p>
        </w:tc>
      </w:tr>
      <w:tr w:rsidR="009706A4" w:rsidRPr="00D371D7" w:rsidTr="009706A4">
        <w:trPr>
          <w:trHeight w:val="451"/>
        </w:trPr>
        <w:tc>
          <w:tcPr>
            <w:tcW w:w="2635" w:type="dxa"/>
          </w:tcPr>
          <w:p w:rsidR="009706A4" w:rsidRPr="00D371D7" w:rsidRDefault="009706A4" w:rsidP="00256CEC">
            <w:pPr>
              <w:textAlignment w:val="baseline"/>
              <w:outlineLvl w:val="0"/>
              <w:rPr>
                <w:rFonts w:ascii="Times New Roman" w:hAnsi="Times New Roman" w:cs="Times New Roman"/>
                <w:b/>
                <w:noProof/>
                <w:color w:val="FF0000"/>
                <w:sz w:val="20"/>
                <w:szCs w:val="20"/>
                <w:lang w:val="fr-CH"/>
              </w:rPr>
            </w:pPr>
            <w:r w:rsidRPr="00D371D7">
              <w:rPr>
                <w:rFonts w:ascii="Times New Roman" w:eastAsia="Times New Roman" w:hAnsi="Times New Roman" w:cs="Times New Roman"/>
                <w:b/>
                <w:bCs/>
                <w:color w:val="222222"/>
                <w:kern w:val="36"/>
                <w:sz w:val="20"/>
                <w:szCs w:val="20"/>
                <w:highlight w:val="yellow"/>
                <w:lang w:val="fr-CH" w:eastAsia="it-IT"/>
              </w:rPr>
              <w:t xml:space="preserve">Urbanisme transitoire : dernier intermède avant </w:t>
            </w:r>
            <w:proofErr w:type="spellStart"/>
            <w:r w:rsidRPr="00D371D7">
              <w:rPr>
                <w:rFonts w:ascii="Times New Roman" w:eastAsia="Times New Roman" w:hAnsi="Times New Roman" w:cs="Times New Roman"/>
                <w:b/>
                <w:bCs/>
                <w:color w:val="222222"/>
                <w:kern w:val="36"/>
                <w:sz w:val="20"/>
                <w:szCs w:val="20"/>
                <w:highlight w:val="yellow"/>
                <w:lang w:val="fr-CH" w:eastAsia="it-IT"/>
              </w:rPr>
              <w:t>gentrification</w:t>
            </w:r>
            <w:proofErr w:type="spellEnd"/>
          </w:p>
        </w:tc>
        <w:tc>
          <w:tcPr>
            <w:tcW w:w="2405" w:type="dxa"/>
          </w:tcPr>
          <w:p w:rsidR="009706A4" w:rsidRPr="00D371D7" w:rsidRDefault="009706A4" w:rsidP="00256CEC">
            <w:pPr>
              <w:textAlignment w:val="baseline"/>
              <w:outlineLvl w:val="0"/>
              <w:rPr>
                <w:rFonts w:ascii="Times New Roman" w:hAnsi="Times New Roman" w:cs="Times New Roman"/>
                <w:b/>
                <w:noProof/>
                <w:color w:val="FF0000"/>
                <w:sz w:val="20"/>
                <w:lang w:val="fr-CH"/>
              </w:rPr>
            </w:pPr>
          </w:p>
        </w:tc>
        <w:tc>
          <w:tcPr>
            <w:tcW w:w="2534" w:type="dxa"/>
          </w:tcPr>
          <w:p w:rsidR="009706A4" w:rsidRPr="00D371D7" w:rsidRDefault="009706A4" w:rsidP="00256CEC">
            <w:pPr>
              <w:textAlignment w:val="baseline"/>
              <w:outlineLvl w:val="0"/>
              <w:rPr>
                <w:rFonts w:ascii="Times New Roman" w:hAnsi="Times New Roman" w:cs="Times New Roman"/>
                <w:b/>
                <w:noProof/>
                <w:color w:val="FF0000"/>
                <w:sz w:val="20"/>
                <w:lang w:val="fr-CH"/>
              </w:rPr>
            </w:pPr>
          </w:p>
        </w:tc>
        <w:tc>
          <w:tcPr>
            <w:tcW w:w="2280" w:type="dxa"/>
          </w:tcPr>
          <w:p w:rsidR="009706A4" w:rsidRPr="00D371D7" w:rsidRDefault="009706A4" w:rsidP="00256CEC">
            <w:pPr>
              <w:textAlignment w:val="baseline"/>
              <w:outlineLvl w:val="0"/>
              <w:rPr>
                <w:rFonts w:ascii="Times New Roman" w:hAnsi="Times New Roman" w:cs="Times New Roman"/>
                <w:b/>
                <w:noProof/>
                <w:color w:val="FF0000"/>
                <w:sz w:val="16"/>
                <w:szCs w:val="16"/>
                <w:lang w:val="fr-CH"/>
              </w:rPr>
            </w:pPr>
          </w:p>
        </w:tc>
      </w:tr>
      <w:tr w:rsidR="009706A4" w:rsidRPr="00D371D7" w:rsidTr="009706A4">
        <w:trPr>
          <w:trHeight w:val="451"/>
        </w:trPr>
        <w:tc>
          <w:tcPr>
            <w:tcW w:w="2635" w:type="dxa"/>
          </w:tcPr>
          <w:p w:rsidR="009706A4" w:rsidRPr="00D371D7" w:rsidRDefault="009706A4" w:rsidP="009706A4">
            <w:pPr>
              <w:pStyle w:val="NormaleWeb"/>
              <w:shd w:val="clear" w:color="auto" w:fill="FFFFFF"/>
              <w:spacing w:before="0" w:beforeAutospacing="0" w:after="300" w:afterAutospacing="0"/>
              <w:rPr>
                <w:b/>
                <w:noProof/>
                <w:color w:val="FF0000"/>
                <w:sz w:val="20"/>
                <w:szCs w:val="20"/>
                <w:lang w:val="fr-CH"/>
              </w:rPr>
            </w:pPr>
            <w:r w:rsidRPr="00D371D7">
              <w:rPr>
                <w:rStyle w:val="Enfasigrassetto"/>
                <w:b w:val="0"/>
                <w:color w:val="222222"/>
                <w:sz w:val="20"/>
                <w:szCs w:val="20"/>
                <w:lang w:val="fr-CH"/>
              </w:rPr>
              <w:t xml:space="preserve">La nature a horreur du vide, les promoteurs encore plus, surtout quand les prix de l’immobilier fendent les plafonds. Depuis quelques années, les terrasses éphémères et autres friches industrielles réutilisées prolifèrent dans les grandes villes françaises ; pas moins de 60 rien qu’en Ile-de-France. </w:t>
            </w:r>
          </w:p>
        </w:tc>
        <w:tc>
          <w:tcPr>
            <w:tcW w:w="2405" w:type="dxa"/>
          </w:tcPr>
          <w:p w:rsidR="009706A4" w:rsidRPr="00D371D7" w:rsidRDefault="009706A4" w:rsidP="00256CEC">
            <w:pPr>
              <w:textAlignment w:val="baseline"/>
              <w:outlineLvl w:val="0"/>
              <w:rPr>
                <w:rFonts w:ascii="Times New Roman" w:hAnsi="Times New Roman" w:cs="Times New Roman"/>
                <w:b/>
                <w:noProof/>
                <w:color w:val="FF0000"/>
                <w:sz w:val="20"/>
                <w:lang w:val="fr-CH"/>
              </w:rPr>
            </w:pPr>
          </w:p>
        </w:tc>
        <w:tc>
          <w:tcPr>
            <w:tcW w:w="2534" w:type="dxa"/>
          </w:tcPr>
          <w:p w:rsidR="009706A4" w:rsidRPr="00D371D7" w:rsidRDefault="009706A4" w:rsidP="00256CEC">
            <w:pPr>
              <w:textAlignment w:val="baseline"/>
              <w:outlineLvl w:val="0"/>
              <w:rPr>
                <w:rFonts w:ascii="Times New Roman" w:hAnsi="Times New Roman" w:cs="Times New Roman"/>
                <w:b/>
                <w:noProof/>
                <w:color w:val="FF0000"/>
                <w:sz w:val="20"/>
                <w:lang w:val="fr-CH"/>
              </w:rPr>
            </w:pPr>
          </w:p>
        </w:tc>
        <w:tc>
          <w:tcPr>
            <w:tcW w:w="2280" w:type="dxa"/>
          </w:tcPr>
          <w:p w:rsidR="009706A4" w:rsidRPr="00D371D7" w:rsidRDefault="009706A4" w:rsidP="00256CEC">
            <w:pPr>
              <w:textAlignment w:val="baseline"/>
              <w:outlineLvl w:val="0"/>
              <w:rPr>
                <w:rFonts w:ascii="Times New Roman" w:hAnsi="Times New Roman" w:cs="Times New Roman"/>
                <w:b/>
                <w:noProof/>
                <w:color w:val="FF0000"/>
                <w:sz w:val="16"/>
                <w:szCs w:val="16"/>
                <w:lang w:val="fr-CH"/>
              </w:rPr>
            </w:pPr>
          </w:p>
        </w:tc>
      </w:tr>
      <w:tr w:rsidR="009706A4" w:rsidRPr="009706A4" w:rsidTr="009706A4">
        <w:trPr>
          <w:trHeight w:val="451"/>
        </w:trPr>
        <w:tc>
          <w:tcPr>
            <w:tcW w:w="2635" w:type="dxa"/>
          </w:tcPr>
          <w:p w:rsidR="009706A4" w:rsidRPr="00D371D7" w:rsidRDefault="009706A4" w:rsidP="00256CEC">
            <w:pPr>
              <w:textAlignment w:val="baseline"/>
              <w:outlineLvl w:val="0"/>
              <w:rPr>
                <w:rFonts w:ascii="Times New Roman" w:hAnsi="Times New Roman" w:cs="Times New Roman"/>
                <w:b/>
                <w:noProof/>
                <w:color w:val="FF0000"/>
                <w:sz w:val="20"/>
                <w:szCs w:val="20"/>
                <w:lang w:val="fr-CH"/>
              </w:rPr>
            </w:pPr>
            <w:r w:rsidRPr="00D371D7">
              <w:rPr>
                <w:rStyle w:val="Enfasigrassetto"/>
                <w:rFonts w:ascii="Times New Roman" w:hAnsi="Times New Roman" w:cs="Times New Roman"/>
                <w:b w:val="0"/>
                <w:color w:val="222222"/>
                <w:sz w:val="20"/>
                <w:szCs w:val="20"/>
                <w:lang w:val="fr-CH"/>
              </w:rPr>
              <w:t>Si leur succès ne se dément plus chaque été, ces différents spots cachent en réalité plusieurs facettes. Qu’il soit transitoire ou éphémère, cet urbanisme d’un genre nouveau semble déjà bien installé. Alors géniale fulgurance ou fausse bonne idée ?</w:t>
            </w:r>
          </w:p>
        </w:tc>
        <w:tc>
          <w:tcPr>
            <w:tcW w:w="2405" w:type="dxa"/>
          </w:tcPr>
          <w:p w:rsidR="009706A4" w:rsidRPr="009706A4" w:rsidRDefault="009706A4" w:rsidP="00256CEC">
            <w:pPr>
              <w:textAlignment w:val="baseline"/>
              <w:outlineLvl w:val="0"/>
              <w:rPr>
                <w:rFonts w:ascii="Arial" w:hAnsi="Arial" w:cs="Arial"/>
                <w:b/>
                <w:noProof/>
                <w:color w:val="FF0000"/>
                <w:sz w:val="20"/>
                <w:lang w:val="fr-CH"/>
              </w:rPr>
            </w:pPr>
          </w:p>
        </w:tc>
        <w:tc>
          <w:tcPr>
            <w:tcW w:w="2534" w:type="dxa"/>
          </w:tcPr>
          <w:p w:rsidR="009706A4" w:rsidRPr="009706A4" w:rsidRDefault="009706A4" w:rsidP="00256CEC">
            <w:pPr>
              <w:textAlignment w:val="baseline"/>
              <w:outlineLvl w:val="0"/>
              <w:rPr>
                <w:rFonts w:ascii="Arial" w:hAnsi="Arial" w:cs="Arial"/>
                <w:b/>
                <w:noProof/>
                <w:color w:val="FF0000"/>
                <w:sz w:val="20"/>
                <w:lang w:val="fr-CH"/>
              </w:rPr>
            </w:pPr>
          </w:p>
        </w:tc>
        <w:tc>
          <w:tcPr>
            <w:tcW w:w="2280" w:type="dxa"/>
          </w:tcPr>
          <w:p w:rsidR="009706A4" w:rsidRPr="009706A4" w:rsidRDefault="009706A4" w:rsidP="00256CEC">
            <w:pPr>
              <w:textAlignment w:val="baseline"/>
              <w:outlineLvl w:val="0"/>
              <w:rPr>
                <w:rFonts w:ascii="Arial" w:hAnsi="Arial" w:cs="Arial"/>
                <w:b/>
                <w:noProof/>
                <w:color w:val="FF0000"/>
                <w:sz w:val="16"/>
                <w:szCs w:val="16"/>
                <w:lang w:val="fr-CH"/>
              </w:rPr>
            </w:pPr>
          </w:p>
        </w:tc>
      </w:tr>
      <w:tr w:rsidR="009706A4" w:rsidRPr="00D371D7" w:rsidTr="009706A4">
        <w:trPr>
          <w:trHeight w:val="451"/>
        </w:trPr>
        <w:tc>
          <w:tcPr>
            <w:tcW w:w="2635" w:type="dxa"/>
          </w:tcPr>
          <w:p w:rsidR="009706A4" w:rsidRPr="00D371D7" w:rsidRDefault="009706A4" w:rsidP="009706A4">
            <w:pPr>
              <w:pStyle w:val="NormaleWeb"/>
              <w:shd w:val="clear" w:color="auto" w:fill="FFFFFF"/>
              <w:spacing w:before="0" w:beforeAutospacing="0" w:after="300" w:afterAutospacing="0"/>
              <w:rPr>
                <w:b/>
                <w:noProof/>
                <w:color w:val="FF0000"/>
                <w:sz w:val="20"/>
                <w:szCs w:val="20"/>
                <w:lang w:val="fr-CH"/>
              </w:rPr>
            </w:pPr>
            <w:r w:rsidRPr="00D371D7">
              <w:rPr>
                <w:color w:val="222222"/>
                <w:sz w:val="20"/>
                <w:szCs w:val="20"/>
                <w:lang w:val="fr-CH"/>
              </w:rPr>
              <w:t>Rentabiliser le temps si précieux mais pourtant incompressible du portage de projet, c’est désormais possible. La tendance est d’ailleurs à l’élongation. Avec la complicité de la loi, de plus en plus d’usines désaffectées et de bureaux vides sont ainsi loués à des occupants temporaires moyennant un bail dérogatoire ou une convention d’occupation précaire.</w:t>
            </w:r>
          </w:p>
        </w:tc>
        <w:tc>
          <w:tcPr>
            <w:tcW w:w="2405" w:type="dxa"/>
          </w:tcPr>
          <w:p w:rsidR="009706A4" w:rsidRPr="009706A4" w:rsidRDefault="009706A4" w:rsidP="00256CEC">
            <w:pPr>
              <w:textAlignment w:val="baseline"/>
              <w:outlineLvl w:val="0"/>
              <w:rPr>
                <w:rFonts w:ascii="Arial" w:hAnsi="Arial" w:cs="Arial"/>
                <w:b/>
                <w:noProof/>
                <w:color w:val="FF0000"/>
                <w:sz w:val="20"/>
                <w:lang w:val="fr-CH"/>
              </w:rPr>
            </w:pPr>
          </w:p>
        </w:tc>
        <w:tc>
          <w:tcPr>
            <w:tcW w:w="2534" w:type="dxa"/>
          </w:tcPr>
          <w:p w:rsidR="009706A4" w:rsidRPr="009706A4" w:rsidRDefault="009706A4" w:rsidP="00256CEC">
            <w:pPr>
              <w:textAlignment w:val="baseline"/>
              <w:outlineLvl w:val="0"/>
              <w:rPr>
                <w:rFonts w:ascii="Arial" w:hAnsi="Arial" w:cs="Arial"/>
                <w:b/>
                <w:noProof/>
                <w:color w:val="FF0000"/>
                <w:sz w:val="20"/>
                <w:lang w:val="fr-CH"/>
              </w:rPr>
            </w:pPr>
          </w:p>
        </w:tc>
        <w:tc>
          <w:tcPr>
            <w:tcW w:w="2280" w:type="dxa"/>
          </w:tcPr>
          <w:p w:rsidR="009706A4" w:rsidRPr="009706A4" w:rsidRDefault="009706A4" w:rsidP="00256CEC">
            <w:pPr>
              <w:textAlignment w:val="baseline"/>
              <w:outlineLvl w:val="0"/>
              <w:rPr>
                <w:rFonts w:ascii="Arial" w:hAnsi="Arial" w:cs="Arial"/>
                <w:b/>
                <w:noProof/>
                <w:color w:val="FF0000"/>
                <w:sz w:val="16"/>
                <w:szCs w:val="16"/>
                <w:lang w:val="fr-CH"/>
              </w:rPr>
            </w:pPr>
          </w:p>
        </w:tc>
      </w:tr>
      <w:tr w:rsidR="009706A4" w:rsidRPr="00D371D7" w:rsidTr="009706A4">
        <w:trPr>
          <w:trHeight w:val="451"/>
        </w:trPr>
        <w:tc>
          <w:tcPr>
            <w:tcW w:w="2635" w:type="dxa"/>
          </w:tcPr>
          <w:p w:rsidR="009706A4" w:rsidRPr="00D371D7" w:rsidRDefault="009706A4" w:rsidP="009706A4">
            <w:pPr>
              <w:pStyle w:val="NormaleWeb"/>
              <w:shd w:val="clear" w:color="auto" w:fill="FFFFFF"/>
              <w:spacing w:before="0" w:beforeAutospacing="0" w:after="300" w:afterAutospacing="0"/>
              <w:rPr>
                <w:color w:val="222222"/>
                <w:sz w:val="20"/>
                <w:szCs w:val="20"/>
                <w:lang w:val="fr-CH"/>
              </w:rPr>
            </w:pPr>
            <w:r w:rsidRPr="00D371D7">
              <w:rPr>
                <w:color w:val="222222"/>
                <w:sz w:val="20"/>
                <w:szCs w:val="20"/>
                <w:highlight w:val="yellow"/>
                <w:lang w:val="fr-CH"/>
              </w:rPr>
              <w:t>C’est à cette faveur que 2017 a vu fleurir la troisième édition du «</w:t>
            </w:r>
            <w:proofErr w:type="spellStart"/>
            <w:r w:rsidRPr="00D371D7">
              <w:rPr>
                <w:color w:val="222222"/>
                <w:sz w:val="20"/>
                <w:szCs w:val="20"/>
                <w:highlight w:val="yellow"/>
                <w:lang w:val="fr-CH"/>
              </w:rPr>
              <w:t>Ground</w:t>
            </w:r>
            <w:proofErr w:type="spellEnd"/>
            <w:r w:rsidRPr="00D371D7">
              <w:rPr>
                <w:color w:val="222222"/>
                <w:sz w:val="20"/>
                <w:szCs w:val="20"/>
                <w:highlight w:val="yellow"/>
                <w:lang w:val="fr-CH"/>
              </w:rPr>
              <w:t xml:space="preserve"> Control» qui a migré dans l’ancien tri postal appartenant à la SNCF de la rue des Charolais (derrière la Gare de Lyon), la poursuite de l’opération des Grands Voisins sur ce qui fut jadis l’hôpital Saint-Vincent-de-Paul, tandis que la Friche </w:t>
            </w:r>
            <w:proofErr w:type="spellStart"/>
            <w:r w:rsidRPr="00D371D7">
              <w:rPr>
                <w:color w:val="222222"/>
                <w:sz w:val="20"/>
                <w:szCs w:val="20"/>
                <w:highlight w:val="yellow"/>
                <w:lang w:val="fr-CH"/>
              </w:rPr>
              <w:t>Miko</w:t>
            </w:r>
            <w:proofErr w:type="spellEnd"/>
            <w:r w:rsidRPr="00D371D7">
              <w:rPr>
                <w:color w:val="222222"/>
                <w:sz w:val="20"/>
                <w:szCs w:val="20"/>
                <w:highlight w:val="yellow"/>
                <w:lang w:val="fr-CH"/>
              </w:rPr>
              <w:t xml:space="preserve"> (Bobigny), la Station Gare des Mines (Porte d’Aubervilliers), le 6B à Saint-Denis, pour ne citer qu’eux, affichaient complet </w:t>
            </w:r>
            <w:r w:rsidRPr="00D371D7">
              <w:rPr>
                <w:color w:val="222222"/>
                <w:sz w:val="20"/>
                <w:szCs w:val="20"/>
                <w:highlight w:val="yellow"/>
                <w:lang w:val="fr-CH"/>
              </w:rPr>
              <w:lastRenderedPageBreak/>
              <w:t>tout l’été.</w:t>
            </w:r>
          </w:p>
          <w:p w:rsidR="009706A4" w:rsidRPr="009706A4" w:rsidRDefault="009706A4" w:rsidP="00256CEC">
            <w:pPr>
              <w:textAlignment w:val="baseline"/>
              <w:outlineLvl w:val="0"/>
              <w:rPr>
                <w:rFonts w:ascii="Arial" w:hAnsi="Arial" w:cs="Arial"/>
                <w:b/>
                <w:noProof/>
                <w:color w:val="FF0000"/>
                <w:sz w:val="20"/>
                <w:szCs w:val="20"/>
                <w:lang w:val="fr-CH"/>
              </w:rPr>
            </w:pPr>
          </w:p>
        </w:tc>
        <w:tc>
          <w:tcPr>
            <w:tcW w:w="2405" w:type="dxa"/>
          </w:tcPr>
          <w:p w:rsidR="009706A4" w:rsidRPr="009706A4" w:rsidRDefault="009706A4" w:rsidP="00256CEC">
            <w:pPr>
              <w:textAlignment w:val="baseline"/>
              <w:outlineLvl w:val="0"/>
              <w:rPr>
                <w:rFonts w:ascii="Arial" w:hAnsi="Arial" w:cs="Arial"/>
                <w:b/>
                <w:noProof/>
                <w:color w:val="FF0000"/>
                <w:sz w:val="20"/>
                <w:lang w:val="fr-CH"/>
              </w:rPr>
            </w:pPr>
          </w:p>
        </w:tc>
        <w:tc>
          <w:tcPr>
            <w:tcW w:w="2534" w:type="dxa"/>
          </w:tcPr>
          <w:p w:rsidR="009706A4" w:rsidRPr="009706A4" w:rsidRDefault="009706A4" w:rsidP="00256CEC">
            <w:pPr>
              <w:textAlignment w:val="baseline"/>
              <w:outlineLvl w:val="0"/>
              <w:rPr>
                <w:rFonts w:ascii="Arial" w:hAnsi="Arial" w:cs="Arial"/>
                <w:b/>
                <w:noProof/>
                <w:color w:val="FF0000"/>
                <w:sz w:val="20"/>
                <w:lang w:val="fr-CH"/>
              </w:rPr>
            </w:pPr>
          </w:p>
        </w:tc>
        <w:tc>
          <w:tcPr>
            <w:tcW w:w="2280" w:type="dxa"/>
          </w:tcPr>
          <w:p w:rsidR="009706A4" w:rsidRPr="009706A4" w:rsidRDefault="009706A4" w:rsidP="00256CEC">
            <w:pPr>
              <w:textAlignment w:val="baseline"/>
              <w:outlineLvl w:val="0"/>
              <w:rPr>
                <w:rFonts w:ascii="Arial" w:hAnsi="Arial" w:cs="Arial"/>
                <w:b/>
                <w:noProof/>
                <w:color w:val="FF0000"/>
                <w:sz w:val="16"/>
                <w:szCs w:val="16"/>
                <w:lang w:val="fr-CH"/>
              </w:rPr>
            </w:pPr>
          </w:p>
        </w:tc>
      </w:tr>
      <w:tr w:rsidR="009706A4" w:rsidRPr="00D371D7" w:rsidTr="009706A4">
        <w:trPr>
          <w:trHeight w:val="451"/>
        </w:trPr>
        <w:tc>
          <w:tcPr>
            <w:tcW w:w="2635" w:type="dxa"/>
          </w:tcPr>
          <w:p w:rsidR="009706A4" w:rsidRPr="00D371D7" w:rsidRDefault="009706A4" w:rsidP="009706A4">
            <w:pPr>
              <w:pStyle w:val="NormaleWeb"/>
              <w:shd w:val="clear" w:color="auto" w:fill="FFFFFF"/>
              <w:spacing w:before="0" w:beforeAutospacing="0" w:after="300" w:afterAutospacing="0"/>
              <w:rPr>
                <w:b/>
                <w:noProof/>
                <w:color w:val="FF0000"/>
                <w:sz w:val="20"/>
                <w:szCs w:val="20"/>
                <w:lang w:val="fr-CH"/>
              </w:rPr>
            </w:pPr>
            <w:r w:rsidRPr="00D371D7">
              <w:rPr>
                <w:color w:val="222222"/>
                <w:sz w:val="20"/>
                <w:szCs w:val="20"/>
                <w:lang w:val="fr-CH"/>
              </w:rPr>
              <w:lastRenderedPageBreak/>
              <w:t>La plupart de ces lieux majoritairement dédiés à l’oisiveté et la fête appartiennent encore à la SNCF qui a eu la bonne idée de créer une entité au sein de SNCF Immobilier pour gérer ces friches aujourd’hui si prisées. «</w:t>
            </w:r>
            <w:r w:rsidRPr="00D371D7">
              <w:rPr>
                <w:rStyle w:val="Enfasicorsivo"/>
                <w:color w:val="222222"/>
                <w:sz w:val="20"/>
                <w:szCs w:val="20"/>
                <w:lang w:val="fr-CH"/>
              </w:rPr>
              <w:t>Ce sont des lieux qui nous appartiennent et que nous ne pouvons pas valoriser immédiatement. Nous choisissons donc de les mettre à disposition d’acteurs qui se chargent de les rendre vivants</w:t>
            </w:r>
            <w:r w:rsidRPr="00D371D7">
              <w:rPr>
                <w:color w:val="222222"/>
                <w:sz w:val="20"/>
                <w:szCs w:val="20"/>
                <w:lang w:val="fr-CH"/>
              </w:rPr>
              <w:t>», explique Benoît Quignon, directeur général de SNCF Immobilier.</w:t>
            </w:r>
          </w:p>
        </w:tc>
        <w:tc>
          <w:tcPr>
            <w:tcW w:w="2405" w:type="dxa"/>
          </w:tcPr>
          <w:p w:rsidR="009706A4" w:rsidRPr="009706A4" w:rsidRDefault="009706A4" w:rsidP="00256CEC">
            <w:pPr>
              <w:textAlignment w:val="baseline"/>
              <w:outlineLvl w:val="0"/>
              <w:rPr>
                <w:rFonts w:ascii="Arial" w:hAnsi="Arial" w:cs="Arial"/>
                <w:b/>
                <w:noProof/>
                <w:color w:val="FF0000"/>
                <w:sz w:val="20"/>
                <w:lang w:val="fr-CH"/>
              </w:rPr>
            </w:pPr>
          </w:p>
        </w:tc>
        <w:tc>
          <w:tcPr>
            <w:tcW w:w="2534" w:type="dxa"/>
          </w:tcPr>
          <w:p w:rsidR="009706A4" w:rsidRPr="009706A4" w:rsidRDefault="009706A4" w:rsidP="00256CEC">
            <w:pPr>
              <w:textAlignment w:val="baseline"/>
              <w:outlineLvl w:val="0"/>
              <w:rPr>
                <w:rFonts w:ascii="Arial" w:hAnsi="Arial" w:cs="Arial"/>
                <w:b/>
                <w:noProof/>
                <w:color w:val="FF0000"/>
                <w:sz w:val="20"/>
                <w:lang w:val="fr-CH"/>
              </w:rPr>
            </w:pPr>
          </w:p>
        </w:tc>
        <w:tc>
          <w:tcPr>
            <w:tcW w:w="2280" w:type="dxa"/>
          </w:tcPr>
          <w:p w:rsidR="009706A4" w:rsidRPr="009706A4" w:rsidRDefault="009706A4" w:rsidP="00256CEC">
            <w:pPr>
              <w:textAlignment w:val="baseline"/>
              <w:outlineLvl w:val="0"/>
              <w:rPr>
                <w:rFonts w:ascii="Arial" w:hAnsi="Arial" w:cs="Arial"/>
                <w:b/>
                <w:noProof/>
                <w:color w:val="FF0000"/>
                <w:sz w:val="16"/>
                <w:szCs w:val="16"/>
                <w:lang w:val="fr-CH"/>
              </w:rPr>
            </w:pPr>
          </w:p>
        </w:tc>
      </w:tr>
      <w:tr w:rsidR="009706A4" w:rsidRPr="00D371D7" w:rsidTr="009706A4">
        <w:trPr>
          <w:trHeight w:val="451"/>
        </w:trPr>
        <w:tc>
          <w:tcPr>
            <w:tcW w:w="2635" w:type="dxa"/>
          </w:tcPr>
          <w:p w:rsidR="009706A4" w:rsidRPr="00D371D7" w:rsidRDefault="009706A4" w:rsidP="009706A4">
            <w:pPr>
              <w:pStyle w:val="NormaleWeb"/>
              <w:shd w:val="clear" w:color="auto" w:fill="FFFFFF"/>
              <w:spacing w:before="0" w:beforeAutospacing="0" w:after="300" w:afterAutospacing="0"/>
              <w:rPr>
                <w:b/>
                <w:noProof/>
                <w:color w:val="FF0000"/>
                <w:sz w:val="20"/>
                <w:szCs w:val="20"/>
                <w:lang w:val="fr-CH"/>
              </w:rPr>
            </w:pPr>
            <w:r w:rsidRPr="00D371D7">
              <w:rPr>
                <w:color w:val="222222"/>
                <w:sz w:val="20"/>
                <w:szCs w:val="20"/>
                <w:lang w:val="fr-CH"/>
              </w:rPr>
              <w:t>Un coup d’œil à la chronologie de cette jolie romance entre la SNCF et les milieux culturels (branchés plutôt ?) montre qu’en réalité ce sont les seconds qui ont commencé à courtiser la première. Premier constat, ce n’est pas Beaubourg qui ouvre ses portes mais des associations d’artistes moins onéreuses à loger.</w:t>
            </w:r>
          </w:p>
        </w:tc>
        <w:tc>
          <w:tcPr>
            <w:tcW w:w="2405" w:type="dxa"/>
          </w:tcPr>
          <w:p w:rsidR="009706A4" w:rsidRPr="009706A4" w:rsidRDefault="009706A4" w:rsidP="00256CEC">
            <w:pPr>
              <w:textAlignment w:val="baseline"/>
              <w:outlineLvl w:val="0"/>
              <w:rPr>
                <w:rFonts w:ascii="Arial" w:hAnsi="Arial" w:cs="Arial"/>
                <w:b/>
                <w:noProof/>
                <w:color w:val="FF0000"/>
                <w:sz w:val="20"/>
                <w:lang w:val="fr-CH"/>
              </w:rPr>
            </w:pPr>
          </w:p>
        </w:tc>
        <w:tc>
          <w:tcPr>
            <w:tcW w:w="2534" w:type="dxa"/>
          </w:tcPr>
          <w:p w:rsidR="009706A4" w:rsidRPr="009706A4" w:rsidRDefault="009706A4" w:rsidP="00256CEC">
            <w:pPr>
              <w:textAlignment w:val="baseline"/>
              <w:outlineLvl w:val="0"/>
              <w:rPr>
                <w:rFonts w:ascii="Arial" w:hAnsi="Arial" w:cs="Arial"/>
                <w:b/>
                <w:noProof/>
                <w:color w:val="FF0000"/>
                <w:sz w:val="20"/>
                <w:lang w:val="fr-CH"/>
              </w:rPr>
            </w:pPr>
          </w:p>
        </w:tc>
        <w:tc>
          <w:tcPr>
            <w:tcW w:w="2280" w:type="dxa"/>
          </w:tcPr>
          <w:p w:rsidR="009706A4" w:rsidRPr="009706A4" w:rsidRDefault="009706A4" w:rsidP="00256CEC">
            <w:pPr>
              <w:textAlignment w:val="baseline"/>
              <w:outlineLvl w:val="0"/>
              <w:rPr>
                <w:rFonts w:ascii="Arial" w:hAnsi="Arial" w:cs="Arial"/>
                <w:b/>
                <w:noProof/>
                <w:color w:val="FF0000"/>
                <w:sz w:val="16"/>
                <w:szCs w:val="16"/>
                <w:lang w:val="fr-CH"/>
              </w:rPr>
            </w:pPr>
          </w:p>
        </w:tc>
      </w:tr>
      <w:tr w:rsidR="009706A4" w:rsidRPr="00D371D7" w:rsidTr="009706A4">
        <w:trPr>
          <w:trHeight w:val="451"/>
        </w:trPr>
        <w:tc>
          <w:tcPr>
            <w:tcW w:w="2635" w:type="dxa"/>
          </w:tcPr>
          <w:p w:rsidR="009706A4" w:rsidRPr="00D371D7" w:rsidRDefault="009706A4" w:rsidP="009706A4">
            <w:pPr>
              <w:pStyle w:val="NormaleWeb"/>
              <w:shd w:val="clear" w:color="auto" w:fill="FFFFFF"/>
              <w:spacing w:before="0" w:beforeAutospacing="0" w:after="300" w:afterAutospacing="0"/>
              <w:rPr>
                <w:b/>
                <w:noProof/>
                <w:color w:val="FF0000"/>
                <w:sz w:val="20"/>
                <w:szCs w:val="20"/>
                <w:lang w:val="fr-CH"/>
              </w:rPr>
            </w:pPr>
            <w:r w:rsidRPr="00D371D7">
              <w:rPr>
                <w:color w:val="222222"/>
                <w:sz w:val="20"/>
                <w:szCs w:val="20"/>
                <w:highlight w:val="yellow"/>
                <w:lang w:val="fr-CH"/>
              </w:rPr>
              <w:t>Pour la SNCF, il s’agit de préserver ses territoires inoccupés en attendant les vastes opérations foncières en cours. Si cette utilisation ne rapporte (en théorie) rien à la société, elle a le mérite de permettre l’économie des frais de gardiennage qui peuvent s’avérer exponentiels (autour de 13 000 euros le mois) et les dégradations plus ou moins volontaires.</w:t>
            </w:r>
          </w:p>
        </w:tc>
        <w:tc>
          <w:tcPr>
            <w:tcW w:w="2405" w:type="dxa"/>
          </w:tcPr>
          <w:p w:rsidR="009706A4" w:rsidRPr="009706A4" w:rsidRDefault="009706A4" w:rsidP="00256CEC">
            <w:pPr>
              <w:textAlignment w:val="baseline"/>
              <w:outlineLvl w:val="0"/>
              <w:rPr>
                <w:rFonts w:ascii="Arial" w:hAnsi="Arial" w:cs="Arial"/>
                <w:b/>
                <w:noProof/>
                <w:color w:val="FF0000"/>
                <w:sz w:val="20"/>
                <w:lang w:val="fr-CH"/>
              </w:rPr>
            </w:pPr>
          </w:p>
        </w:tc>
        <w:tc>
          <w:tcPr>
            <w:tcW w:w="2534" w:type="dxa"/>
          </w:tcPr>
          <w:p w:rsidR="009706A4" w:rsidRPr="009706A4" w:rsidRDefault="009706A4" w:rsidP="00256CEC">
            <w:pPr>
              <w:textAlignment w:val="baseline"/>
              <w:outlineLvl w:val="0"/>
              <w:rPr>
                <w:rFonts w:ascii="Arial" w:hAnsi="Arial" w:cs="Arial"/>
                <w:b/>
                <w:noProof/>
                <w:color w:val="FF0000"/>
                <w:sz w:val="20"/>
                <w:lang w:val="fr-CH"/>
              </w:rPr>
            </w:pPr>
          </w:p>
        </w:tc>
        <w:tc>
          <w:tcPr>
            <w:tcW w:w="2280" w:type="dxa"/>
          </w:tcPr>
          <w:p w:rsidR="009706A4" w:rsidRPr="009706A4" w:rsidRDefault="009706A4" w:rsidP="00256CEC">
            <w:pPr>
              <w:textAlignment w:val="baseline"/>
              <w:outlineLvl w:val="0"/>
              <w:rPr>
                <w:rFonts w:ascii="Arial" w:hAnsi="Arial" w:cs="Arial"/>
                <w:b/>
                <w:noProof/>
                <w:color w:val="FF0000"/>
                <w:sz w:val="16"/>
                <w:szCs w:val="16"/>
                <w:lang w:val="fr-CH"/>
              </w:rPr>
            </w:pPr>
          </w:p>
        </w:tc>
      </w:tr>
      <w:tr w:rsidR="009706A4" w:rsidRPr="00D371D7" w:rsidTr="009706A4">
        <w:trPr>
          <w:trHeight w:val="451"/>
        </w:trPr>
        <w:tc>
          <w:tcPr>
            <w:tcW w:w="2635" w:type="dxa"/>
          </w:tcPr>
          <w:p w:rsidR="009706A4" w:rsidRPr="00D371D7" w:rsidRDefault="009706A4" w:rsidP="009706A4">
            <w:pPr>
              <w:pStyle w:val="NormaleWeb"/>
              <w:shd w:val="clear" w:color="auto" w:fill="FFFFFF"/>
              <w:spacing w:before="0" w:beforeAutospacing="0" w:after="300" w:afterAutospacing="0"/>
              <w:rPr>
                <w:b/>
                <w:noProof/>
                <w:color w:val="FF0000"/>
                <w:sz w:val="20"/>
                <w:szCs w:val="20"/>
                <w:lang w:val="fr-CH"/>
              </w:rPr>
            </w:pPr>
            <w:r w:rsidRPr="00D371D7">
              <w:rPr>
                <w:color w:val="222222"/>
                <w:sz w:val="20"/>
                <w:szCs w:val="20"/>
                <w:lang w:val="fr-CH"/>
              </w:rPr>
              <w:t xml:space="preserve">A </w:t>
            </w:r>
            <w:proofErr w:type="spellStart"/>
            <w:r w:rsidRPr="00D371D7">
              <w:rPr>
                <w:color w:val="222222"/>
                <w:sz w:val="20"/>
                <w:szCs w:val="20"/>
                <w:lang w:val="fr-CH"/>
              </w:rPr>
              <w:t>Ground</w:t>
            </w:r>
            <w:proofErr w:type="spellEnd"/>
            <w:r w:rsidRPr="00D371D7">
              <w:rPr>
                <w:color w:val="222222"/>
                <w:sz w:val="20"/>
                <w:szCs w:val="20"/>
                <w:lang w:val="fr-CH"/>
              </w:rPr>
              <w:t xml:space="preserve"> Control, l’occupation temporaire avait également comme mission de préfigurer certains usages et d’en mesurer l’attractivité. Un peu comme un urbanisme des foules, où les ‘</w:t>
            </w:r>
            <w:proofErr w:type="spellStart"/>
            <w:r w:rsidRPr="00D371D7">
              <w:rPr>
                <w:color w:val="222222"/>
                <w:sz w:val="20"/>
                <w:szCs w:val="20"/>
                <w:lang w:val="fr-CH"/>
              </w:rPr>
              <w:t>hipsters</w:t>
            </w:r>
            <w:proofErr w:type="spellEnd"/>
            <w:r w:rsidRPr="00D371D7">
              <w:rPr>
                <w:color w:val="222222"/>
                <w:sz w:val="20"/>
                <w:szCs w:val="20"/>
                <w:lang w:val="fr-CH"/>
              </w:rPr>
              <w:t xml:space="preserve">’ joueraient le rôle de cobayes des futures ambiances urbaines et coproduiraient la ville, lui permettant de </w:t>
            </w:r>
            <w:r w:rsidRPr="00D371D7">
              <w:rPr>
                <w:color w:val="222222"/>
                <w:sz w:val="20"/>
                <w:szCs w:val="20"/>
                <w:lang w:val="fr-CH"/>
              </w:rPr>
              <w:lastRenderedPageBreak/>
              <w:t>réconcilier «</w:t>
            </w:r>
            <w:r w:rsidRPr="00D371D7">
              <w:rPr>
                <w:rStyle w:val="Enfasicorsivo"/>
                <w:color w:val="222222"/>
                <w:sz w:val="20"/>
                <w:szCs w:val="20"/>
                <w:lang w:val="fr-CH"/>
              </w:rPr>
              <w:t>nature et urbanité, consommation et vivre-ensemble</w:t>
            </w:r>
            <w:r w:rsidRPr="00D371D7">
              <w:rPr>
                <w:color w:val="222222"/>
                <w:sz w:val="20"/>
                <w:szCs w:val="20"/>
                <w:lang w:val="fr-CH"/>
              </w:rPr>
              <w:t>» dans un environnement urbain «</w:t>
            </w:r>
            <w:r w:rsidRPr="00D371D7">
              <w:rPr>
                <w:rStyle w:val="Enfasicorsivo"/>
                <w:color w:val="222222"/>
                <w:sz w:val="20"/>
                <w:szCs w:val="20"/>
                <w:lang w:val="fr-CH"/>
              </w:rPr>
              <w:t>pacifié, joyeux, plus responsable et solidaire</w:t>
            </w:r>
            <w:r w:rsidRPr="00D371D7">
              <w:rPr>
                <w:color w:val="222222"/>
                <w:sz w:val="20"/>
                <w:szCs w:val="20"/>
                <w:lang w:val="fr-CH"/>
              </w:rPr>
              <w:t>». C’est beau comme l’antique ! Sans oublier que les dents creuses ont tendance à dégrader l’image du quartier. D’où l’intérêt de les confier à des acteurs culturels à la recherche d’espaces pour mener à bien leurs projets.</w:t>
            </w:r>
          </w:p>
        </w:tc>
        <w:tc>
          <w:tcPr>
            <w:tcW w:w="2405" w:type="dxa"/>
          </w:tcPr>
          <w:p w:rsidR="009706A4" w:rsidRPr="009706A4" w:rsidRDefault="009706A4" w:rsidP="00256CEC">
            <w:pPr>
              <w:textAlignment w:val="baseline"/>
              <w:outlineLvl w:val="0"/>
              <w:rPr>
                <w:rFonts w:ascii="Arial" w:hAnsi="Arial" w:cs="Arial"/>
                <w:b/>
                <w:noProof/>
                <w:color w:val="FF0000"/>
                <w:sz w:val="20"/>
                <w:lang w:val="fr-CH"/>
              </w:rPr>
            </w:pPr>
          </w:p>
        </w:tc>
        <w:tc>
          <w:tcPr>
            <w:tcW w:w="2534" w:type="dxa"/>
          </w:tcPr>
          <w:p w:rsidR="009706A4" w:rsidRPr="009706A4" w:rsidRDefault="009706A4" w:rsidP="00256CEC">
            <w:pPr>
              <w:textAlignment w:val="baseline"/>
              <w:outlineLvl w:val="0"/>
              <w:rPr>
                <w:rFonts w:ascii="Arial" w:hAnsi="Arial" w:cs="Arial"/>
                <w:b/>
                <w:noProof/>
                <w:color w:val="FF0000"/>
                <w:sz w:val="20"/>
                <w:lang w:val="fr-CH"/>
              </w:rPr>
            </w:pPr>
          </w:p>
        </w:tc>
        <w:tc>
          <w:tcPr>
            <w:tcW w:w="2280" w:type="dxa"/>
          </w:tcPr>
          <w:p w:rsidR="009706A4" w:rsidRPr="009706A4" w:rsidRDefault="009706A4" w:rsidP="00256CEC">
            <w:pPr>
              <w:textAlignment w:val="baseline"/>
              <w:outlineLvl w:val="0"/>
              <w:rPr>
                <w:rFonts w:ascii="Arial" w:hAnsi="Arial" w:cs="Arial"/>
                <w:b/>
                <w:noProof/>
                <w:color w:val="FF0000"/>
                <w:sz w:val="16"/>
                <w:szCs w:val="16"/>
                <w:lang w:val="fr-CH"/>
              </w:rPr>
            </w:pPr>
          </w:p>
        </w:tc>
      </w:tr>
      <w:tr w:rsidR="009706A4" w:rsidRPr="009706A4" w:rsidTr="009706A4">
        <w:trPr>
          <w:trHeight w:val="451"/>
        </w:trPr>
        <w:tc>
          <w:tcPr>
            <w:tcW w:w="2635" w:type="dxa"/>
          </w:tcPr>
          <w:p w:rsidR="009706A4" w:rsidRPr="00D371D7" w:rsidRDefault="009706A4" w:rsidP="009706A4">
            <w:pPr>
              <w:pStyle w:val="NormaleWeb"/>
              <w:shd w:val="clear" w:color="auto" w:fill="FFFFFF"/>
              <w:spacing w:before="0" w:beforeAutospacing="0" w:after="300" w:afterAutospacing="0"/>
              <w:rPr>
                <w:b/>
                <w:noProof/>
                <w:color w:val="FF0000"/>
                <w:sz w:val="20"/>
                <w:szCs w:val="20"/>
                <w:lang w:val="fr-CH"/>
              </w:rPr>
            </w:pPr>
            <w:r w:rsidRPr="00D371D7">
              <w:rPr>
                <w:color w:val="222222"/>
                <w:sz w:val="20"/>
                <w:szCs w:val="20"/>
                <w:lang w:val="fr-CH"/>
              </w:rPr>
              <w:lastRenderedPageBreak/>
              <w:t xml:space="preserve">Cependant, il ne faut pas se tromper. Si l’été se révèle être la saison brame du DJ </w:t>
            </w:r>
            <w:proofErr w:type="spellStart"/>
            <w:r w:rsidRPr="00D371D7">
              <w:rPr>
                <w:color w:val="222222"/>
                <w:sz w:val="20"/>
                <w:szCs w:val="20"/>
                <w:lang w:val="fr-CH"/>
              </w:rPr>
              <w:t>hipster</w:t>
            </w:r>
            <w:proofErr w:type="spellEnd"/>
            <w:r w:rsidRPr="00D371D7">
              <w:rPr>
                <w:color w:val="222222"/>
                <w:sz w:val="20"/>
                <w:szCs w:val="20"/>
                <w:lang w:val="fr-CH"/>
              </w:rPr>
              <w:t>, c’est que la nature urbaine, ou plutôt que ces acteurs, ont leurs raisons. Anciennes gares, centres de maintenance, ex-tris postaux, tous ces lieux enraillés sont encore aujourd’hui dans des quartiers peu vivants. Qui ne devraient pas le rester longtemps.</w:t>
            </w:r>
          </w:p>
        </w:tc>
        <w:tc>
          <w:tcPr>
            <w:tcW w:w="2405" w:type="dxa"/>
          </w:tcPr>
          <w:p w:rsidR="009706A4" w:rsidRPr="009706A4" w:rsidRDefault="009706A4" w:rsidP="00256CEC">
            <w:pPr>
              <w:textAlignment w:val="baseline"/>
              <w:outlineLvl w:val="0"/>
              <w:rPr>
                <w:rFonts w:ascii="Arial" w:hAnsi="Arial" w:cs="Arial"/>
                <w:b/>
                <w:noProof/>
                <w:color w:val="FF0000"/>
                <w:sz w:val="20"/>
                <w:lang w:val="fr-CH"/>
              </w:rPr>
            </w:pPr>
          </w:p>
        </w:tc>
        <w:tc>
          <w:tcPr>
            <w:tcW w:w="2534" w:type="dxa"/>
          </w:tcPr>
          <w:p w:rsidR="009706A4" w:rsidRPr="009706A4" w:rsidRDefault="009706A4" w:rsidP="00256CEC">
            <w:pPr>
              <w:textAlignment w:val="baseline"/>
              <w:outlineLvl w:val="0"/>
              <w:rPr>
                <w:rFonts w:ascii="Arial" w:hAnsi="Arial" w:cs="Arial"/>
                <w:b/>
                <w:noProof/>
                <w:color w:val="FF0000"/>
                <w:sz w:val="20"/>
                <w:lang w:val="fr-CH"/>
              </w:rPr>
            </w:pPr>
          </w:p>
        </w:tc>
        <w:tc>
          <w:tcPr>
            <w:tcW w:w="2280" w:type="dxa"/>
          </w:tcPr>
          <w:p w:rsidR="009706A4" w:rsidRPr="009706A4" w:rsidRDefault="009706A4" w:rsidP="00256CEC">
            <w:pPr>
              <w:textAlignment w:val="baseline"/>
              <w:outlineLvl w:val="0"/>
              <w:rPr>
                <w:rFonts w:ascii="Arial" w:hAnsi="Arial" w:cs="Arial"/>
                <w:b/>
                <w:noProof/>
                <w:color w:val="FF0000"/>
                <w:sz w:val="16"/>
                <w:szCs w:val="16"/>
                <w:lang w:val="fr-CH"/>
              </w:rPr>
            </w:pPr>
          </w:p>
        </w:tc>
      </w:tr>
      <w:tr w:rsidR="009706A4" w:rsidRPr="00D371D7" w:rsidTr="009706A4">
        <w:trPr>
          <w:trHeight w:val="451"/>
        </w:trPr>
        <w:tc>
          <w:tcPr>
            <w:tcW w:w="2635" w:type="dxa"/>
          </w:tcPr>
          <w:p w:rsidR="009706A4" w:rsidRPr="00D371D7" w:rsidRDefault="009706A4" w:rsidP="009706A4">
            <w:pPr>
              <w:pStyle w:val="NormaleWeb"/>
              <w:shd w:val="clear" w:color="auto" w:fill="FFFFFF"/>
              <w:spacing w:before="0" w:beforeAutospacing="0" w:after="300" w:afterAutospacing="0"/>
              <w:rPr>
                <w:color w:val="222222"/>
                <w:sz w:val="20"/>
                <w:szCs w:val="20"/>
                <w:lang w:val="fr-CH"/>
              </w:rPr>
            </w:pPr>
            <w:r w:rsidRPr="00D371D7">
              <w:rPr>
                <w:color w:val="222222"/>
                <w:sz w:val="20"/>
                <w:szCs w:val="20"/>
                <w:lang w:val="fr-CH"/>
              </w:rPr>
              <w:t xml:space="preserve">En témoignent les 500 logements qui doivent voir le jour à l’emplacement de feu Grand Train, installé l’an dernier rue Ordener. Cela en fait du monde à venir pour les riverains qui, dans ce coin du XVIIIe arrondissement de Paname, ne portent pas tous des Stan Smith et autres sacs en coton bio recyclé. </w:t>
            </w:r>
            <w:bookmarkStart w:id="0" w:name="_GoBack"/>
            <w:bookmarkEnd w:id="0"/>
          </w:p>
          <w:p w:rsidR="009706A4" w:rsidRPr="009706A4" w:rsidRDefault="009706A4" w:rsidP="009706A4">
            <w:pPr>
              <w:jc w:val="center"/>
              <w:textAlignment w:val="baseline"/>
              <w:outlineLvl w:val="0"/>
              <w:rPr>
                <w:rFonts w:ascii="Arial" w:hAnsi="Arial" w:cs="Arial"/>
                <w:b/>
                <w:noProof/>
                <w:color w:val="FF0000"/>
                <w:sz w:val="20"/>
                <w:lang w:val="fr-CH"/>
              </w:rPr>
            </w:pPr>
          </w:p>
        </w:tc>
        <w:tc>
          <w:tcPr>
            <w:tcW w:w="2405" w:type="dxa"/>
          </w:tcPr>
          <w:p w:rsidR="009706A4" w:rsidRPr="009706A4" w:rsidRDefault="009706A4" w:rsidP="00256CEC">
            <w:pPr>
              <w:textAlignment w:val="baseline"/>
              <w:outlineLvl w:val="0"/>
              <w:rPr>
                <w:rFonts w:ascii="Arial" w:hAnsi="Arial" w:cs="Arial"/>
                <w:b/>
                <w:noProof/>
                <w:color w:val="FF0000"/>
                <w:sz w:val="20"/>
                <w:lang w:val="fr-CH"/>
              </w:rPr>
            </w:pPr>
          </w:p>
        </w:tc>
        <w:tc>
          <w:tcPr>
            <w:tcW w:w="2534" w:type="dxa"/>
          </w:tcPr>
          <w:p w:rsidR="009706A4" w:rsidRPr="009706A4" w:rsidRDefault="009706A4" w:rsidP="00256CEC">
            <w:pPr>
              <w:textAlignment w:val="baseline"/>
              <w:outlineLvl w:val="0"/>
              <w:rPr>
                <w:rFonts w:ascii="Arial" w:hAnsi="Arial" w:cs="Arial"/>
                <w:b/>
                <w:noProof/>
                <w:color w:val="FF0000"/>
                <w:sz w:val="20"/>
                <w:lang w:val="fr-CH"/>
              </w:rPr>
            </w:pPr>
          </w:p>
        </w:tc>
        <w:tc>
          <w:tcPr>
            <w:tcW w:w="2280" w:type="dxa"/>
          </w:tcPr>
          <w:p w:rsidR="009706A4" w:rsidRPr="009706A4" w:rsidRDefault="009706A4" w:rsidP="00256CEC">
            <w:pPr>
              <w:textAlignment w:val="baseline"/>
              <w:outlineLvl w:val="0"/>
              <w:rPr>
                <w:rFonts w:ascii="Arial" w:hAnsi="Arial" w:cs="Arial"/>
                <w:b/>
                <w:noProof/>
                <w:color w:val="FF0000"/>
                <w:sz w:val="16"/>
                <w:szCs w:val="16"/>
                <w:lang w:val="fr-CH"/>
              </w:rPr>
            </w:pPr>
          </w:p>
        </w:tc>
      </w:tr>
    </w:tbl>
    <w:p w:rsidR="00B24CBA" w:rsidRPr="009706A4" w:rsidRDefault="00B24CBA">
      <w:pPr>
        <w:rPr>
          <w:lang w:val="fr-CH"/>
        </w:rPr>
      </w:pPr>
    </w:p>
    <w:sectPr w:rsidR="00B24CBA" w:rsidRPr="009706A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7E1"/>
    <w:rsid w:val="005077E1"/>
    <w:rsid w:val="009706A4"/>
    <w:rsid w:val="00B24CBA"/>
    <w:rsid w:val="00D371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706A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9706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970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9706A4"/>
    <w:rPr>
      <w:b/>
      <w:bCs/>
    </w:rPr>
  </w:style>
  <w:style w:type="character" w:styleId="Enfasicorsivo">
    <w:name w:val="Emphasis"/>
    <w:basedOn w:val="Carpredefinitoparagrafo"/>
    <w:uiPriority w:val="20"/>
    <w:qFormat/>
    <w:rsid w:val="009706A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706A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9706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970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9706A4"/>
    <w:rPr>
      <w:b/>
      <w:bCs/>
    </w:rPr>
  </w:style>
  <w:style w:type="character" w:styleId="Enfasicorsivo">
    <w:name w:val="Emphasis"/>
    <w:basedOn w:val="Carpredefinitoparagrafo"/>
    <w:uiPriority w:val="20"/>
    <w:qFormat/>
    <w:rsid w:val="009706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609</Words>
  <Characters>3477</Characters>
  <Application>Microsoft Office Word</Application>
  <DocSecurity>0</DocSecurity>
  <Lines>28</Lines>
  <Paragraphs>8</Paragraphs>
  <ScaleCrop>false</ScaleCrop>
  <Company/>
  <LinksUpToDate>false</LinksUpToDate>
  <CharactersWithSpaces>4078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CNA AITI</cp:lastModifiedBy>
  <cp:revision>3</cp:revision>
  <dcterms:created xsi:type="dcterms:W3CDTF">2018-08-06T20:16:00Z</dcterms:created>
  <dcterms:modified xsi:type="dcterms:W3CDTF">2018-09-13T06:58:00Z</dcterms:modified>
</cp:coreProperties>
</file>