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93"/>
        <w:gridCol w:w="2283"/>
        <w:gridCol w:w="2309"/>
        <w:gridCol w:w="2269"/>
      </w:tblGrid>
      <w:tr w:rsidR="002B3480" w:rsidRPr="009C117E" w14:paraId="591D2CE6" w14:textId="77777777" w:rsidTr="0087109B">
        <w:tc>
          <w:tcPr>
            <w:tcW w:w="2993" w:type="dxa"/>
          </w:tcPr>
          <w:p w14:paraId="536B1591" w14:textId="77777777" w:rsidR="002B3480" w:rsidRPr="009C117E" w:rsidRDefault="002B348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C117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di partenza</w:t>
            </w:r>
          </w:p>
          <w:p w14:paraId="4E274C25" w14:textId="4BDC70A2" w:rsidR="0010477E" w:rsidRPr="009C117E" w:rsidRDefault="00E63CDC" w:rsidP="00E63CDC">
            <w:pPr>
              <w:spacing w:before="120" w:after="12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C117E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NON TRADURRE LE PARTI EVIDENZIATE IN GIALLO</w:t>
            </w:r>
          </w:p>
        </w:tc>
        <w:tc>
          <w:tcPr>
            <w:tcW w:w="2283" w:type="dxa"/>
          </w:tcPr>
          <w:p w14:paraId="54A0F391" w14:textId="77777777" w:rsidR="002B3480" w:rsidRPr="009C117E" w:rsidRDefault="002B348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C117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tradotto dal candidato</w:t>
            </w:r>
          </w:p>
        </w:tc>
        <w:tc>
          <w:tcPr>
            <w:tcW w:w="2309" w:type="dxa"/>
          </w:tcPr>
          <w:p w14:paraId="3DACF07F" w14:textId="77777777" w:rsidR="002B3480" w:rsidRPr="009C117E" w:rsidRDefault="002B348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C117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Spazio a disposizione del correttore</w:t>
            </w:r>
          </w:p>
        </w:tc>
        <w:tc>
          <w:tcPr>
            <w:tcW w:w="2269" w:type="dxa"/>
          </w:tcPr>
          <w:p w14:paraId="2E93046A" w14:textId="77777777" w:rsidR="002B3480" w:rsidRPr="009C117E" w:rsidRDefault="007E710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C117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Penalità</w:t>
            </w:r>
          </w:p>
        </w:tc>
      </w:tr>
      <w:tr w:rsidR="002B3480" w:rsidRPr="009C117E" w14:paraId="40010DB4" w14:textId="77777777" w:rsidTr="0087109B">
        <w:tc>
          <w:tcPr>
            <w:tcW w:w="2993" w:type="dxa"/>
          </w:tcPr>
          <w:p w14:paraId="4F505DF4" w14:textId="75382318" w:rsidR="002B3480" w:rsidRPr="009C117E" w:rsidRDefault="00910EBD" w:rsidP="00910EBD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9C117E">
              <w:rPr>
                <w:b/>
                <w:sz w:val="20"/>
                <w:szCs w:val="20"/>
              </w:rPr>
              <w:t xml:space="preserve"> </w:t>
            </w:r>
            <w:r w:rsidRPr="009C117E">
              <w:rPr>
                <w:rStyle w:val="normaltextrun"/>
                <w:b/>
                <w:bCs/>
                <w:sz w:val="20"/>
                <w:szCs w:val="20"/>
                <w:highlight w:val="yellow"/>
              </w:rPr>
              <w:t>Economia e mercati</w:t>
            </w:r>
          </w:p>
        </w:tc>
        <w:tc>
          <w:tcPr>
            <w:tcW w:w="2283" w:type="dxa"/>
          </w:tcPr>
          <w:p w14:paraId="593130C8" w14:textId="663D0078" w:rsidR="002B3480" w:rsidRPr="009C117E" w:rsidRDefault="003A41D4" w:rsidP="00EC75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11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09" w:type="dxa"/>
          </w:tcPr>
          <w:p w14:paraId="4F294C03" w14:textId="77777777" w:rsidR="002B3480" w:rsidRPr="009C117E" w:rsidRDefault="002B348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69" w:type="dxa"/>
          </w:tcPr>
          <w:p w14:paraId="7E55E361" w14:textId="77777777" w:rsidR="002B3480" w:rsidRPr="009C117E" w:rsidRDefault="002B348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B3480" w:rsidRPr="009C117E" w14:paraId="671E9C0E" w14:textId="77777777" w:rsidTr="0087109B">
        <w:tc>
          <w:tcPr>
            <w:tcW w:w="2993" w:type="dxa"/>
          </w:tcPr>
          <w:p w14:paraId="516472A2" w14:textId="39601887" w:rsidR="00910EBD" w:rsidRPr="009C117E" w:rsidRDefault="00910EBD" w:rsidP="00910EBD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9C117E">
              <w:rPr>
                <w:rStyle w:val="normaltextrun"/>
                <w:sz w:val="20"/>
                <w:szCs w:val="20"/>
              </w:rPr>
              <w:t>Stamani, come previsto, la Banca Popolare Cinese ha ridotto i tassi sulla cosiddetta Medium-</w:t>
            </w:r>
            <w:proofErr w:type="spellStart"/>
            <w:r w:rsidR="0087109B" w:rsidRPr="009C117E">
              <w:rPr>
                <w:rStyle w:val="normaltextrun"/>
                <w:sz w:val="20"/>
                <w:szCs w:val="20"/>
              </w:rPr>
              <w:t>T</w:t>
            </w:r>
            <w:r w:rsidRPr="009C117E">
              <w:rPr>
                <w:rStyle w:val="spellingerror"/>
                <w:sz w:val="20"/>
                <w:szCs w:val="20"/>
              </w:rPr>
              <w:t>erm</w:t>
            </w:r>
            <w:proofErr w:type="spellEnd"/>
            <w:r w:rsidR="0087109B" w:rsidRPr="009C117E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C117E">
              <w:rPr>
                <w:rStyle w:val="normaltextrun"/>
                <w:sz w:val="20"/>
                <w:szCs w:val="20"/>
              </w:rPr>
              <w:t>Lending</w:t>
            </w:r>
            <w:proofErr w:type="spellEnd"/>
            <w:r w:rsidR="0087109B" w:rsidRPr="009C117E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C117E">
              <w:rPr>
                <w:rStyle w:val="normaltextrun"/>
                <w:sz w:val="20"/>
                <w:szCs w:val="20"/>
              </w:rPr>
              <w:t>Facility</w:t>
            </w:r>
            <w:proofErr w:type="spellEnd"/>
            <w:r w:rsidR="0087109B" w:rsidRPr="009C117E">
              <w:rPr>
                <w:rStyle w:val="normaltextrun"/>
                <w:sz w:val="20"/>
                <w:szCs w:val="20"/>
              </w:rPr>
              <w:t xml:space="preserve"> </w:t>
            </w:r>
            <w:r w:rsidRPr="009C117E">
              <w:rPr>
                <w:rStyle w:val="normaltextrun"/>
                <w:sz w:val="20"/>
                <w:szCs w:val="20"/>
              </w:rPr>
              <w:t>(MLF), il tasso</w:t>
            </w:r>
            <w:r w:rsidR="0087109B" w:rsidRPr="009C117E">
              <w:rPr>
                <w:rStyle w:val="normaltextrun"/>
                <w:sz w:val="20"/>
                <w:szCs w:val="20"/>
              </w:rPr>
              <w:t xml:space="preserve"> </w:t>
            </w:r>
            <w:proofErr w:type="gramStart"/>
            <w:r w:rsidRPr="009C117E">
              <w:rPr>
                <w:rStyle w:val="normaltextrun"/>
                <w:sz w:val="20"/>
                <w:szCs w:val="20"/>
              </w:rPr>
              <w:t>a cui</w:t>
            </w:r>
            <w:proofErr w:type="gramEnd"/>
            <w:r w:rsidR="0087109B" w:rsidRPr="009C117E">
              <w:rPr>
                <w:rStyle w:val="normaltextrun"/>
                <w:sz w:val="20"/>
                <w:szCs w:val="20"/>
              </w:rPr>
              <w:t xml:space="preserve"> </w:t>
            </w:r>
            <w:r w:rsidRPr="009C117E">
              <w:rPr>
                <w:rStyle w:val="normaltextrun"/>
                <w:sz w:val="20"/>
                <w:szCs w:val="20"/>
              </w:rPr>
              <w:t>presta alle istituzioni finanziarie, di 20 punti base da 3,15% a 2,95%, il livello più basso da quando il parametro è stato introdotto nel 2014. Il 20 aprile la PBOC dovrebbe tagliare anche i tassi sul</w:t>
            </w:r>
            <w:r w:rsidR="0087109B" w:rsidRPr="009C117E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C117E">
              <w:rPr>
                <w:rStyle w:val="spellingerror"/>
                <w:sz w:val="20"/>
                <w:szCs w:val="20"/>
              </w:rPr>
              <w:t>Loan</w:t>
            </w:r>
            <w:proofErr w:type="spellEnd"/>
            <w:r w:rsidR="0087109B" w:rsidRPr="009C117E">
              <w:rPr>
                <w:rStyle w:val="normaltextrun"/>
                <w:sz w:val="20"/>
                <w:szCs w:val="20"/>
              </w:rPr>
              <w:t xml:space="preserve"> </w:t>
            </w:r>
            <w:r w:rsidRPr="009C117E">
              <w:rPr>
                <w:rStyle w:val="normaltextrun"/>
                <w:sz w:val="20"/>
                <w:szCs w:val="20"/>
              </w:rPr>
              <w:t>Prime Rate (LPR), il tasso</w:t>
            </w:r>
            <w:r w:rsidR="0087109B" w:rsidRPr="009C117E">
              <w:rPr>
                <w:rStyle w:val="normaltextrun"/>
                <w:sz w:val="20"/>
                <w:szCs w:val="20"/>
              </w:rPr>
              <w:t xml:space="preserve"> </w:t>
            </w:r>
            <w:proofErr w:type="gramStart"/>
            <w:r w:rsidRPr="009C117E">
              <w:rPr>
                <w:rStyle w:val="normaltextrun"/>
                <w:sz w:val="20"/>
                <w:szCs w:val="20"/>
              </w:rPr>
              <w:t>a cui</w:t>
            </w:r>
            <w:proofErr w:type="gramEnd"/>
            <w:r w:rsidR="0087109B" w:rsidRPr="009C117E">
              <w:rPr>
                <w:rStyle w:val="normaltextrun"/>
                <w:sz w:val="20"/>
                <w:szCs w:val="20"/>
              </w:rPr>
              <w:t xml:space="preserve"> </w:t>
            </w:r>
            <w:r w:rsidRPr="009C117E">
              <w:rPr>
                <w:rStyle w:val="normaltextrun"/>
                <w:sz w:val="20"/>
                <w:szCs w:val="20"/>
              </w:rPr>
              <w:t>le banche prestano ai migliori clienti.</w:t>
            </w:r>
          </w:p>
          <w:p w14:paraId="037789D6" w14:textId="5CBD8B12" w:rsidR="002B3480" w:rsidRPr="009C117E" w:rsidRDefault="002B3480" w:rsidP="00910E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83" w:type="dxa"/>
          </w:tcPr>
          <w:p w14:paraId="1BEF893F" w14:textId="4D47F667" w:rsidR="002B3480" w:rsidRPr="009C117E" w:rsidRDefault="002B3480" w:rsidP="00EC75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09" w:type="dxa"/>
          </w:tcPr>
          <w:p w14:paraId="4F70F9B2" w14:textId="77777777" w:rsidR="002B3480" w:rsidRPr="009C117E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</w:tcPr>
          <w:p w14:paraId="3C280A44" w14:textId="77777777" w:rsidR="002B3480" w:rsidRPr="009C117E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9C117E" w14:paraId="35104646" w14:textId="77777777" w:rsidTr="0087109B">
        <w:tc>
          <w:tcPr>
            <w:tcW w:w="2993" w:type="dxa"/>
          </w:tcPr>
          <w:p w14:paraId="224BA4E1" w14:textId="370C70A6" w:rsidR="00910EBD" w:rsidRPr="009C117E" w:rsidRDefault="00910EBD" w:rsidP="00910E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17E">
              <w:rPr>
                <w:rStyle w:val="normaltextru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La giornata di ieri è iniziata con un tono positivo dei mercati, proseguito poi</w:t>
            </w:r>
            <w:r w:rsidR="0087109B" w:rsidRPr="009C117E">
              <w:rPr>
                <w:rStyle w:val="normaltextru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9C117E">
              <w:rPr>
                <w:rStyle w:val="normaltextru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in</w:t>
            </w:r>
            <w:proofErr w:type="gramEnd"/>
            <w:r w:rsidR="0087109B" w:rsidRPr="009C117E">
              <w:rPr>
                <w:rStyle w:val="normaltextru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9C117E">
              <w:rPr>
                <w:rStyle w:val="normaltextru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giornata, grazie ai miglioramenti dei dati negli ultimi giorni sulla diffusione della pandemia in Europa e grazie alla pubblicazione dei dati sulla bilancia commerciale cinese per il mese di marzo migliori delle attese. Infatti, la contrazione delle esportazioni è stata del -6,6% rispetto alle stime di -14% </w:t>
            </w:r>
            <w:proofErr w:type="gramStart"/>
            <w:r w:rsidRPr="009C117E">
              <w:rPr>
                <w:rStyle w:val="normaltextru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degli</w:t>
            </w:r>
            <w:proofErr w:type="gramEnd"/>
            <w:r w:rsidR="0087109B" w:rsidRPr="009C117E">
              <w:rPr>
                <w:rStyle w:val="normaltextru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9C117E">
              <w:rPr>
                <w:rStyle w:val="normaltextru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analisti, ed anche le importazioni sono scese meno del previsto, -0,9% rispetto a -9,5% atteso. Molti commentatori hanno però messo in guardia dal desumere una tendenza da questo dato poiché gli effetti del “</w:t>
            </w:r>
            <w:proofErr w:type="spellStart"/>
            <w:r w:rsidRPr="009C117E">
              <w:rPr>
                <w:rStyle w:val="spellingerror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lockdown</w:t>
            </w:r>
            <w:proofErr w:type="spellEnd"/>
            <w:r w:rsidRPr="009C117E">
              <w:rPr>
                <w:rStyle w:val="normaltextru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” in Occidente si faranno sentire nei mesi a venire.</w:t>
            </w:r>
          </w:p>
          <w:p w14:paraId="1C55BE9F" w14:textId="734A6BCA" w:rsidR="002B3480" w:rsidRPr="009C117E" w:rsidRDefault="002B3480" w:rsidP="002105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3" w:type="dxa"/>
          </w:tcPr>
          <w:p w14:paraId="207EA511" w14:textId="5CC49C17" w:rsidR="002B3480" w:rsidRPr="009C117E" w:rsidRDefault="002B3480" w:rsidP="004677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9" w:type="dxa"/>
          </w:tcPr>
          <w:p w14:paraId="358F45B5" w14:textId="77777777" w:rsidR="002B3480" w:rsidRPr="009C117E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</w:tcPr>
          <w:p w14:paraId="54720400" w14:textId="77777777" w:rsidR="002B3480" w:rsidRPr="009C117E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9C117E" w14:paraId="6567837F" w14:textId="77777777" w:rsidTr="0087109B">
        <w:tc>
          <w:tcPr>
            <w:tcW w:w="2993" w:type="dxa"/>
          </w:tcPr>
          <w:p w14:paraId="1BBDA435" w14:textId="5EBC9594" w:rsidR="00910EBD" w:rsidRPr="009C117E" w:rsidRDefault="00910EBD" w:rsidP="00910EBD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9C117E">
              <w:rPr>
                <w:rStyle w:val="normaltextru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Il Fondo Monetario Internazionale ha pubblicato le proprie stime riviste per la crescita economica globale nel 2020. Il FMI si attende ora una contrazione del -3% del PIL mondiale, una contrazione che potrebbe rivelarsi la più profonda dalla grande depressione del 1929. Le previsioni a gennaio erano per una crescita del +3,3% nel 2020. Per il 2021 il rimbalzo previsto è del +5,8%, ma tale previsione ha forti elementi di aleatorietà al momento, come ha spiegato</w:t>
            </w:r>
            <w:r w:rsidR="0087109B" w:rsidRPr="009C117E">
              <w:rPr>
                <w:rStyle w:val="normaltextru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9C117E">
              <w:rPr>
                <w:rStyle w:val="normaltextru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la</w:t>
            </w:r>
            <w:proofErr w:type="gramEnd"/>
            <w:r w:rsidR="0087109B" w:rsidRPr="009C117E">
              <w:rPr>
                <w:rStyle w:val="normaltextru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9C117E">
              <w:rPr>
                <w:rStyle w:val="normaltextru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capo economista dell’istituzione internazionale, aggiungendo che un’eventuale ripresa dei contagi il prossimo anno potrebbe spingere il mondo in recessione per due anni </w:t>
            </w:r>
            <w:r w:rsidRPr="009C117E">
              <w:rPr>
                <w:rStyle w:val="normaltextru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consecutivi. </w:t>
            </w:r>
            <w:r w:rsidRPr="009C117E">
              <w:rPr>
                <w:rStyle w:val="normaltextrun"/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  <w:t>Le previsioni dettagliate per macro aree geografiche del FMI vedono una contrazione dell’economia USA del -5,9% e per l’Area Euro del -7,5%, con l’Italia la nazione più colpita dell’Area a -9,1%. Per la Cina si prevede una leggera crescita positiva</w:t>
            </w:r>
            <w:r w:rsidR="0087109B" w:rsidRPr="009C117E">
              <w:rPr>
                <w:rStyle w:val="normaltextrun"/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  <w:t xml:space="preserve"> </w:t>
            </w:r>
            <w:proofErr w:type="gramStart"/>
            <w:r w:rsidRPr="009C117E">
              <w:rPr>
                <w:rStyle w:val="normaltextrun"/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  <w:t>dell’1,2%</w:t>
            </w:r>
            <w:proofErr w:type="gramEnd"/>
            <w:r w:rsidR="0087109B" w:rsidRPr="009C117E">
              <w:rPr>
                <w:rStyle w:val="normaltextrun"/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  <w:t xml:space="preserve"> </w:t>
            </w:r>
            <w:r w:rsidRPr="009C117E">
              <w:rPr>
                <w:rStyle w:val="normaltextrun"/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  <w:t>rispetto al 6% previsto a gennaio.</w:t>
            </w:r>
          </w:p>
          <w:p w14:paraId="4C64AFD7" w14:textId="6BCE6B42" w:rsidR="002B3480" w:rsidRPr="009C117E" w:rsidRDefault="002B3480" w:rsidP="00910E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3" w:type="dxa"/>
          </w:tcPr>
          <w:p w14:paraId="4DBA9EBA" w14:textId="7DA513EA" w:rsidR="002B3480" w:rsidRPr="009C117E" w:rsidRDefault="002B3480" w:rsidP="00B06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9" w:type="dxa"/>
          </w:tcPr>
          <w:p w14:paraId="0B681453" w14:textId="77777777" w:rsidR="002B3480" w:rsidRPr="009C117E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</w:tcPr>
          <w:p w14:paraId="32E063F5" w14:textId="77777777" w:rsidR="002B3480" w:rsidRPr="009C117E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9C117E" w14:paraId="0BA1EF25" w14:textId="77777777" w:rsidTr="0087109B">
        <w:tc>
          <w:tcPr>
            <w:tcW w:w="2993" w:type="dxa"/>
          </w:tcPr>
          <w:p w14:paraId="4F2C82A4" w14:textId="0A66716A" w:rsidR="002B3480" w:rsidRPr="009C117E" w:rsidRDefault="00910EBD" w:rsidP="00910EB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C117E">
              <w:rPr>
                <w:rStyle w:val="normaltextru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È entrata nel vivo negli Stati Uniti la stagione della pubblicazione dei risultati aziendali </w:t>
            </w:r>
            <w:proofErr w:type="gramStart"/>
            <w:r w:rsidRPr="009C117E">
              <w:rPr>
                <w:rStyle w:val="normaltextru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del</w:t>
            </w:r>
            <w:proofErr w:type="gramEnd"/>
            <w:r w:rsidRPr="009C117E">
              <w:rPr>
                <w:rStyle w:val="normaltextru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primo trimestre. Tra le banche più importanti hanno riportato JP Morgan e Wells Fargo, entrambe segnalando un forte incremento degli accantonamenti, rispettivamente </w:t>
            </w:r>
            <w:proofErr w:type="gramStart"/>
            <w:r w:rsidRPr="009C117E">
              <w:rPr>
                <w:rStyle w:val="normaltextru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8</w:t>
            </w:r>
            <w:proofErr w:type="gramEnd"/>
            <w:r w:rsidRPr="009C117E">
              <w:rPr>
                <w:rStyle w:val="normaltextru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e 4 miliardi di dollari, a fronte di un pressoché certo aumento dei default dei crediti concessi. L’utile di JP Morgan è così calato di due terzi, nonostante l’attività di trading abbia mostrato un buon risultato. In calo addirittura del 90% gli utili di Wells Fargo, che non ha, a differenza di JP Morgan, attività </w:t>
            </w:r>
            <w:proofErr w:type="gramStart"/>
            <w:r w:rsidRPr="009C117E">
              <w:rPr>
                <w:rStyle w:val="normaltextru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di </w:t>
            </w:r>
            <w:proofErr w:type="spellStart"/>
            <w:proofErr w:type="gramEnd"/>
            <w:r w:rsidRPr="009C117E">
              <w:rPr>
                <w:rStyle w:val="normaltextru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investment</w:t>
            </w:r>
            <w:proofErr w:type="spellEnd"/>
            <w:r w:rsidRPr="009C117E">
              <w:rPr>
                <w:rStyle w:val="normaltextru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banking. </w:t>
            </w:r>
            <w:r w:rsidRPr="009C117E">
              <w:rPr>
                <w:rStyle w:val="eop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283" w:type="dxa"/>
          </w:tcPr>
          <w:p w14:paraId="799CAFCE" w14:textId="40F9F7FC" w:rsidR="002B3480" w:rsidRPr="009C117E" w:rsidRDefault="002B3480" w:rsidP="005A13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9" w:type="dxa"/>
          </w:tcPr>
          <w:p w14:paraId="0B117710" w14:textId="77777777" w:rsidR="002B3480" w:rsidRPr="009C117E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</w:tcPr>
          <w:p w14:paraId="381152CA" w14:textId="77777777" w:rsidR="002B3480" w:rsidRPr="009C117E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9C117E" w14:paraId="5ED36088" w14:textId="77777777" w:rsidTr="0087109B">
        <w:tc>
          <w:tcPr>
            <w:tcW w:w="2993" w:type="dxa"/>
          </w:tcPr>
          <w:p w14:paraId="5E601729" w14:textId="52801955" w:rsidR="002B3480" w:rsidRPr="009C117E" w:rsidRDefault="008710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17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C117E">
              <w:rPr>
                <w:rStyle w:val="normaltextru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n conclusione, nonostante i dati sulla pandemia provenienti dagli Stati Uniti non siano incoraggianti con oltre 23.000 nuovi contagi ieri </w:t>
            </w:r>
            <w:proofErr w:type="gramStart"/>
            <w:r w:rsidRPr="009C117E">
              <w:rPr>
                <w:rStyle w:val="normaltextru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ed</w:t>
            </w:r>
            <w:proofErr w:type="gramEnd"/>
            <w:r w:rsidRPr="009C117E">
              <w:rPr>
                <w:rStyle w:val="normaltextru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oltre 2.000 decessi ed i contrasti tra il Presidente Trump ed alcuni Governatori come </w:t>
            </w:r>
            <w:proofErr w:type="spellStart"/>
            <w:r w:rsidRPr="009C117E">
              <w:rPr>
                <w:rStyle w:val="normaltextru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Cuomo</w:t>
            </w:r>
            <w:proofErr w:type="spellEnd"/>
            <w:r w:rsidRPr="009C117E">
              <w:rPr>
                <w:rStyle w:val="normaltextru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dello Stato di New York, che ritiene i piani di riapertura del Presidente troppo ottimisti, i mercati azionari internazionali, con in testa gli Stati Uniti, appaiono fiduciosi che la riapertura graduale delle attività sia prossima e guardano oltre le previsioni negative sancite oggi dal Fondo Monetario Internazionale. </w:t>
            </w:r>
            <w:r w:rsidRPr="009C117E">
              <w:rPr>
                <w:rStyle w:val="eop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283" w:type="dxa"/>
          </w:tcPr>
          <w:p w14:paraId="27656CFE" w14:textId="50AB61AD" w:rsidR="002B3480" w:rsidRPr="009C117E" w:rsidRDefault="002B3480" w:rsidP="005A13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9" w:type="dxa"/>
          </w:tcPr>
          <w:p w14:paraId="791311BB" w14:textId="77777777" w:rsidR="002B3480" w:rsidRPr="009C117E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</w:tcPr>
          <w:p w14:paraId="6B9C1B62" w14:textId="77777777" w:rsidR="002B3480" w:rsidRPr="009C117E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AB20435" w14:textId="77777777" w:rsidR="00DC299A" w:rsidRPr="009C117E" w:rsidRDefault="00DC299A">
      <w:pPr>
        <w:rPr>
          <w:rFonts w:ascii="Times New Roman" w:hAnsi="Times New Roman" w:cs="Times New Roman"/>
          <w:sz w:val="20"/>
          <w:szCs w:val="20"/>
        </w:rPr>
      </w:pPr>
    </w:p>
    <w:p w14:paraId="50B196ED" w14:textId="77777777" w:rsidR="00DB319A" w:rsidRDefault="00DB319A" w:rsidP="00DB319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Il testo è stato tratto dal sito:</w:t>
      </w:r>
    </w:p>
    <w:p w14:paraId="47F7ED52" w14:textId="77777777" w:rsidR="00DB319A" w:rsidRDefault="007E08C9" w:rsidP="00DB319A">
      <w:hyperlink r:id="rId7" w:history="1">
        <w:r w:rsidR="00DB319A">
          <w:rPr>
            <w:rStyle w:val="Collegamentoipertestuale"/>
          </w:rPr>
          <w:t>https://www.secondapensione.it</w:t>
        </w:r>
      </w:hyperlink>
    </w:p>
    <w:p w14:paraId="4A584E27" w14:textId="2421CC3C" w:rsidR="002B3480" w:rsidRPr="009C117E" w:rsidRDefault="00D620DB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r>
        <w:rPr>
          <w:rFonts w:ascii="Times New Roman" w:hAnsi="Times New Roman" w:cs="Times New Roman"/>
          <w:sz w:val="20"/>
          <w:szCs w:val="20"/>
        </w:rPr>
        <w:t>Destinatario del testo di arrivo: investitori</w:t>
      </w:r>
    </w:p>
    <w:bookmarkEnd w:id="0"/>
    <w:p w14:paraId="38BB1366" w14:textId="77777777" w:rsidR="002B3480" w:rsidRPr="009C117E" w:rsidRDefault="002B34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2B3480" w:rsidRPr="009C11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4E6CA3" w14:textId="77777777" w:rsidR="007E08C9" w:rsidRDefault="007E08C9" w:rsidP="00061876">
      <w:pPr>
        <w:spacing w:after="0" w:line="240" w:lineRule="auto"/>
      </w:pPr>
      <w:r>
        <w:separator/>
      </w:r>
    </w:p>
  </w:endnote>
  <w:endnote w:type="continuationSeparator" w:id="0">
    <w:p w14:paraId="3D47BAB8" w14:textId="77777777" w:rsidR="007E08C9" w:rsidRDefault="007E08C9" w:rsidP="00061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936873" w14:textId="77777777" w:rsidR="00061876" w:rsidRDefault="0006187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64202E" w14:textId="77777777" w:rsidR="00061876" w:rsidRDefault="0006187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BFF971" w14:textId="77777777" w:rsidR="00061876" w:rsidRDefault="0006187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249DAB" w14:textId="77777777" w:rsidR="007E08C9" w:rsidRDefault="007E08C9" w:rsidP="00061876">
      <w:pPr>
        <w:spacing w:after="0" w:line="240" w:lineRule="auto"/>
      </w:pPr>
      <w:r>
        <w:separator/>
      </w:r>
    </w:p>
  </w:footnote>
  <w:footnote w:type="continuationSeparator" w:id="0">
    <w:p w14:paraId="25E9879E" w14:textId="77777777" w:rsidR="007E08C9" w:rsidRDefault="007E08C9" w:rsidP="000618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645C3" w14:textId="77777777" w:rsidR="00061876" w:rsidRDefault="0006187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EA83F" w14:textId="77777777" w:rsidR="00061876" w:rsidRDefault="0006187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01C0E" w14:textId="77777777" w:rsidR="00061876" w:rsidRDefault="0006187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7D0"/>
    <w:rsid w:val="00017D1A"/>
    <w:rsid w:val="00027E31"/>
    <w:rsid w:val="00061876"/>
    <w:rsid w:val="0010477E"/>
    <w:rsid w:val="0010650B"/>
    <w:rsid w:val="001077E7"/>
    <w:rsid w:val="00111B2C"/>
    <w:rsid w:val="00164FB2"/>
    <w:rsid w:val="002105A9"/>
    <w:rsid w:val="00232438"/>
    <w:rsid w:val="002A1FBA"/>
    <w:rsid w:val="002B3480"/>
    <w:rsid w:val="003257D0"/>
    <w:rsid w:val="003A41D4"/>
    <w:rsid w:val="003B4425"/>
    <w:rsid w:val="003D30C0"/>
    <w:rsid w:val="003E47FF"/>
    <w:rsid w:val="00443B3E"/>
    <w:rsid w:val="004677A6"/>
    <w:rsid w:val="004B3E73"/>
    <w:rsid w:val="005A1325"/>
    <w:rsid w:val="0068210B"/>
    <w:rsid w:val="006F7CCB"/>
    <w:rsid w:val="0070550C"/>
    <w:rsid w:val="0079483C"/>
    <w:rsid w:val="007A6E3C"/>
    <w:rsid w:val="007E08C9"/>
    <w:rsid w:val="007E7104"/>
    <w:rsid w:val="0087109B"/>
    <w:rsid w:val="008B459A"/>
    <w:rsid w:val="008F72A5"/>
    <w:rsid w:val="00910EBD"/>
    <w:rsid w:val="009C117E"/>
    <w:rsid w:val="009C78FC"/>
    <w:rsid w:val="009F1A27"/>
    <w:rsid w:val="00A5256E"/>
    <w:rsid w:val="00AD02A1"/>
    <w:rsid w:val="00B06C65"/>
    <w:rsid w:val="00BC569F"/>
    <w:rsid w:val="00BD3287"/>
    <w:rsid w:val="00C47242"/>
    <w:rsid w:val="00CE10D2"/>
    <w:rsid w:val="00D0471C"/>
    <w:rsid w:val="00D237F5"/>
    <w:rsid w:val="00D620DB"/>
    <w:rsid w:val="00DB319A"/>
    <w:rsid w:val="00DC299A"/>
    <w:rsid w:val="00E158AD"/>
    <w:rsid w:val="00E47EC7"/>
    <w:rsid w:val="00E63CDC"/>
    <w:rsid w:val="00E73F60"/>
    <w:rsid w:val="00E905A2"/>
    <w:rsid w:val="00EC75CA"/>
    <w:rsid w:val="00F2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E42F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B3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1">
    <w:name w:val="A1"/>
    <w:uiPriority w:val="99"/>
    <w:rsid w:val="002105A9"/>
    <w:rPr>
      <w:color w:val="000000"/>
      <w:sz w:val="20"/>
      <w:szCs w:val="20"/>
    </w:rPr>
  </w:style>
  <w:style w:type="character" w:customStyle="1" w:styleId="A6">
    <w:name w:val="A6"/>
    <w:uiPriority w:val="99"/>
    <w:rsid w:val="002105A9"/>
    <w:rPr>
      <w:color w:val="000000"/>
      <w:sz w:val="11"/>
      <w:szCs w:val="11"/>
    </w:rPr>
  </w:style>
  <w:style w:type="paragraph" w:styleId="Intestazione">
    <w:name w:val="header"/>
    <w:basedOn w:val="Normale"/>
    <w:link w:val="IntestazioneCarattere"/>
    <w:uiPriority w:val="99"/>
    <w:unhideWhenUsed/>
    <w:rsid w:val="000618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1876"/>
  </w:style>
  <w:style w:type="paragraph" w:styleId="Pidipagina">
    <w:name w:val="footer"/>
    <w:basedOn w:val="Normale"/>
    <w:link w:val="PidipaginaCarattere"/>
    <w:uiPriority w:val="99"/>
    <w:unhideWhenUsed/>
    <w:rsid w:val="000618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1876"/>
  </w:style>
  <w:style w:type="character" w:customStyle="1" w:styleId="normaltextrun">
    <w:name w:val="normaltextrun"/>
    <w:basedOn w:val="Carpredefinitoparagrafo"/>
    <w:rsid w:val="00017D1A"/>
  </w:style>
  <w:style w:type="character" w:customStyle="1" w:styleId="spellingerror">
    <w:name w:val="spellingerror"/>
    <w:basedOn w:val="Carpredefinitoparagrafo"/>
    <w:rsid w:val="00017D1A"/>
  </w:style>
  <w:style w:type="character" w:customStyle="1" w:styleId="eop">
    <w:name w:val="eop"/>
    <w:basedOn w:val="Carpredefinitoparagrafo"/>
    <w:rsid w:val="00017D1A"/>
  </w:style>
  <w:style w:type="paragraph" w:customStyle="1" w:styleId="paragraph">
    <w:name w:val="paragraph"/>
    <w:basedOn w:val="Normale"/>
    <w:rsid w:val="00910E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DB31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B3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1">
    <w:name w:val="A1"/>
    <w:uiPriority w:val="99"/>
    <w:rsid w:val="002105A9"/>
    <w:rPr>
      <w:color w:val="000000"/>
      <w:sz w:val="20"/>
      <w:szCs w:val="20"/>
    </w:rPr>
  </w:style>
  <w:style w:type="character" w:customStyle="1" w:styleId="A6">
    <w:name w:val="A6"/>
    <w:uiPriority w:val="99"/>
    <w:rsid w:val="002105A9"/>
    <w:rPr>
      <w:color w:val="000000"/>
      <w:sz w:val="11"/>
      <w:szCs w:val="11"/>
    </w:rPr>
  </w:style>
  <w:style w:type="paragraph" w:styleId="Intestazione">
    <w:name w:val="header"/>
    <w:basedOn w:val="Normale"/>
    <w:link w:val="IntestazioneCarattere"/>
    <w:uiPriority w:val="99"/>
    <w:unhideWhenUsed/>
    <w:rsid w:val="000618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1876"/>
  </w:style>
  <w:style w:type="paragraph" w:styleId="Pidipagina">
    <w:name w:val="footer"/>
    <w:basedOn w:val="Normale"/>
    <w:link w:val="PidipaginaCarattere"/>
    <w:uiPriority w:val="99"/>
    <w:unhideWhenUsed/>
    <w:rsid w:val="000618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1876"/>
  </w:style>
  <w:style w:type="character" w:customStyle="1" w:styleId="normaltextrun">
    <w:name w:val="normaltextrun"/>
    <w:basedOn w:val="Carpredefinitoparagrafo"/>
    <w:rsid w:val="00017D1A"/>
  </w:style>
  <w:style w:type="character" w:customStyle="1" w:styleId="spellingerror">
    <w:name w:val="spellingerror"/>
    <w:basedOn w:val="Carpredefinitoparagrafo"/>
    <w:rsid w:val="00017D1A"/>
  </w:style>
  <w:style w:type="character" w:customStyle="1" w:styleId="eop">
    <w:name w:val="eop"/>
    <w:basedOn w:val="Carpredefinitoparagrafo"/>
    <w:rsid w:val="00017D1A"/>
  </w:style>
  <w:style w:type="paragraph" w:customStyle="1" w:styleId="paragraph">
    <w:name w:val="paragraph"/>
    <w:basedOn w:val="Normale"/>
    <w:rsid w:val="00910E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DB31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5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1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9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06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secondapensione.it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3527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2020-05-06T17:32:00Z</dcterms:created>
  <dcterms:modified xsi:type="dcterms:W3CDTF">2020-05-07T07:44:00Z</dcterms:modified>
</cp:coreProperties>
</file>