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2B3480" w:rsidTr="002B3480">
        <w:tc>
          <w:tcPr>
            <w:tcW w:w="2444" w:type="dxa"/>
          </w:tcPr>
          <w:p w:rsidR="002B3480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B34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:rsidR="0010477E" w:rsidRPr="002B3480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0477E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le parti evidenziate in giallo</w:t>
            </w: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B34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B34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B34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Punteggio</w:t>
            </w:r>
          </w:p>
        </w:tc>
      </w:tr>
      <w:tr w:rsidR="002B3480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A 22-year-old woman with a history of sickle cell disease and migraine headaches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presented to the emergency department with weakness that had caused her to fall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that day. She reported a gradual progression of weakness over a period of 6 months,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which had led in the previous few weeks to difficulty standing, climbing steps, and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lifting her child. </w:t>
            </w: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10477E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Her weakness was symmetric in both her arms and her legs, and she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had hand stiffness and dull, aching pain in both thighs. She reported no cognitive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impairment, </w:t>
            </w:r>
            <w:proofErr w:type="spellStart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paresthesia</w:t>
            </w:r>
            <w:proofErr w:type="spellEnd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, numbness, or urinary incontinence.</w:t>
            </w:r>
          </w:p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3480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The differential diagnosis for muscle weakness is broad. Weakness in the proximal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muscles of the arms and legs arouses suspicion for peripheral nervous system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dysfunction such as a myopathy, neuromuscular junction disorder, motor neuropathy</w:t>
            </w:r>
          </w:p>
          <w:p w:rsidR="002B3480" w:rsidRPr="003E47FF" w:rsidRDefault="002B3480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 xml:space="preserve">or </w:t>
            </w:r>
            <w:proofErr w:type="spellStart"/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neuronopathy</w:t>
            </w:r>
            <w:proofErr w:type="spellEnd"/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 xml:space="preserve">, and </w:t>
            </w:r>
            <w:proofErr w:type="spellStart"/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polyradiculoneuropathy</w:t>
            </w:r>
            <w:proofErr w:type="spellEnd"/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.</w:t>
            </w: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10477E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The patient has normal mentation,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absence of sensory symptoms, and intact bladder control, findings that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lessen suspicion of processes in both hemispheres of the brain, the brain stem,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or the cervical spinal cord as the cause of her weakness. The gradual progression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suggests inflammation, infection, and metabolic and neoplastic processes more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 xml:space="preserve">strongly than a vascular </w:t>
            </w: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lastRenderedPageBreak/>
              <w:t>process.</w:t>
            </w:r>
          </w:p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3480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lastRenderedPageBreak/>
              <w:t>The patient had no history of pain crises from sickle cell disease and was being followed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by a hematologist for chronic leukocytosis and iron overload resulting from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monthly transfusion therapy. She had received a diagnosis of </w:t>
            </w:r>
            <w:proofErr w:type="spellStart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moyamoya</w:t>
            </w:r>
            <w:proofErr w:type="spellEnd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 syndrome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at 5 years of age after she had had a stroke, and she had recovered without residual</w:t>
            </w:r>
          </w:p>
          <w:p w:rsidR="002B3480" w:rsidRPr="003E47FF" w:rsidRDefault="002B3480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deficits.</w:t>
            </w: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Magnetic resonance imaging and magnetic resonance angiography of the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head 3 years before the current admission showed </w:t>
            </w:r>
            <w:proofErr w:type="spellStart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hyperintensity</w:t>
            </w:r>
            <w:proofErr w:type="spellEnd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 in the left basal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ganglia and adjacent white matter, occlusion of the left terminal internal carotid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artery and middle cerebral artery, and a </w:t>
            </w:r>
            <w:proofErr w:type="spellStart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stenotic</w:t>
            </w:r>
            <w:proofErr w:type="spellEnd"/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 right middle cerebral artery with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collateral circulation.</w:t>
            </w:r>
          </w:p>
          <w:p w:rsidR="002B3480" w:rsidRPr="003E47FF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10477E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 xml:space="preserve">Sickle cell disease can lead to </w:t>
            </w:r>
            <w:proofErr w:type="spellStart"/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moyamoya</w:t>
            </w:r>
            <w:proofErr w:type="spellEnd"/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 xml:space="preserve"> syndrome, which is characterized by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stenosis or occlusions of arteries around the circle of Willis in both hemispheres</w:t>
            </w:r>
          </w:p>
          <w:p w:rsidR="002B3480" w:rsidRPr="0010477E" w:rsidRDefault="002B3480" w:rsidP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of the brain, with prominent arterial collateral circulation.</w:t>
            </w:r>
          </w:p>
        </w:tc>
        <w:tc>
          <w:tcPr>
            <w:tcW w:w="2444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3480" w:rsidRPr="0010477E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Affected patients are at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risk for ischemic strokes. However, if recurrent ischemic strokes caused this patient’s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weakness, one would expect stepwise decline and asymmetric involvement</w:t>
            </w:r>
          </w:p>
          <w:p w:rsidR="002B3480" w:rsidRPr="003E47FF" w:rsidRDefault="002B3480" w:rsidP="002B3480">
            <w:pPr>
              <w:rPr>
                <w:rFonts w:ascii="OTNEJMQuadraat" w:hAnsi="OTNEJMQuadraat" w:cs="OTNEJMQuadraat"/>
                <w:sz w:val="20"/>
                <w:szCs w:val="20"/>
                <w:lang w:val="en-US"/>
              </w:rPr>
            </w:pPr>
            <w:r w:rsidRPr="003E47FF">
              <w:rPr>
                <w:rFonts w:ascii="OTNEJMQuadraat" w:hAnsi="OTNEJMQuadraat" w:cs="OTNEJMQuadraat"/>
                <w:sz w:val="20"/>
                <w:szCs w:val="20"/>
                <w:lang w:val="en-US"/>
              </w:rPr>
              <w:t>rather than gradual progression of symmetric weakness.</w:t>
            </w:r>
          </w:p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4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3480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A review of systems revealed that the patient had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had an unintentional weight loss of 18 kg during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lastRenderedPageBreak/>
              <w:t>the previous 6 months despite having a good appetite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and eating regular meals. She had had intermittent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choking episodes and difficulty swallowing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over the previous 2 months, but reported no</w:t>
            </w:r>
          </w:p>
          <w:p w:rsidR="002B3480" w:rsidRPr="003E47FF" w:rsidRDefault="002B3480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difficulty chewing.</w:t>
            </w: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10477E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lastRenderedPageBreak/>
              <w:t>She also reported shortness of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breath with minimal exertion. Outpatient evaluation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had revealed hypoxemia, and administration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of supplemental oxygen through a nasal cannula</w:t>
            </w:r>
          </w:p>
          <w:p w:rsidR="002B3480" w:rsidRPr="0010477E" w:rsidRDefault="002B3480" w:rsidP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was initiated at a rate of 2 liters per minute.</w:t>
            </w:r>
          </w:p>
        </w:tc>
        <w:tc>
          <w:tcPr>
            <w:tcW w:w="2444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5" w:type="dxa"/>
          </w:tcPr>
          <w:p w:rsidR="002B3480" w:rsidRPr="0010477E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3480" w:rsidTr="002B3480">
        <w:tc>
          <w:tcPr>
            <w:tcW w:w="2444" w:type="dxa"/>
          </w:tcPr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  <w:t>Results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  <w:t>of computed tomographic (CT) angiography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  <w:t>of the chest and transthoracic echocardiography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  <w:t>performed during the outpatient evaluation were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highlight w:val="yellow"/>
                <w:lang w:val="en-US"/>
              </w:rPr>
              <w:t>normal.</w:t>
            </w: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 She reported no fever, chills, night sweats,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>diarrhea, nausea, or vomiting during the previous</w:t>
            </w:r>
          </w:p>
          <w:p w:rsidR="002B3480" w:rsidRPr="003E47FF" w:rsidRDefault="002B3480" w:rsidP="002B348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3E47FF">
              <w:rPr>
                <w:rFonts w:ascii="OTNEJMQuadraat-Bold" w:hAnsi="OTNEJMQuadraat-Bold" w:cs="OTNEJMQuadraat-Bold"/>
                <w:bCs/>
                <w:sz w:val="20"/>
                <w:szCs w:val="20"/>
                <w:lang w:val="en-US"/>
              </w:rPr>
              <w:t xml:space="preserve">2 months. </w:t>
            </w:r>
          </w:p>
          <w:p w:rsidR="002B3480" w:rsidRPr="003E47FF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:rsidR="002B3480" w:rsidRPr="002B3480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299A" w:rsidRDefault="00DC299A"/>
    <w:p w:rsidR="002B3480" w:rsidRDefault="002B3480"/>
    <w:p w:rsidR="002B3480" w:rsidRPr="002B3480" w:rsidRDefault="002B3480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sectPr w:rsidR="002B3480" w:rsidRPr="002B34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TNEJMQuadraat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TNEJMQuadraat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2B3480"/>
    <w:rsid w:val="003257D0"/>
    <w:rsid w:val="003E47FF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554</Words>
  <Characters>2794</Characters>
  <Application>Microsoft Office Word</Application>
  <DocSecurity>0</DocSecurity>
  <Lines>47</Lines>
  <Paragraphs>7</Paragraphs>
  <ScaleCrop>false</ScaleCrop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CNA AITI</cp:lastModifiedBy>
  <cp:revision>4</cp:revision>
  <dcterms:created xsi:type="dcterms:W3CDTF">2019-08-05T19:31:00Z</dcterms:created>
  <dcterms:modified xsi:type="dcterms:W3CDTF">2019-08-05T20:06:00Z</dcterms:modified>
</cp:coreProperties>
</file>