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57"/>
        <w:gridCol w:w="2444"/>
        <w:gridCol w:w="2445"/>
        <w:gridCol w:w="2445"/>
      </w:tblGrid>
      <w:tr w:rsidR="002B3480" w:rsidRPr="00BD3287" w14:paraId="591D2CE6" w14:textId="77777777" w:rsidTr="00164FB2">
        <w:tc>
          <w:tcPr>
            <w:tcW w:w="2457" w:type="dxa"/>
          </w:tcPr>
          <w:p w14:paraId="536B1591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4E274C25" w14:textId="77777777" w:rsidR="0010477E" w:rsidRPr="00BD3287" w:rsidRDefault="001047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4" w:type="dxa"/>
          </w:tcPr>
          <w:p w14:paraId="54A0F391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3DACF07F" w14:textId="77777777" w:rsidR="002B3480" w:rsidRPr="00BD3287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28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2E93046A" w14:textId="77777777" w:rsidR="002B3480" w:rsidRPr="00BD3287" w:rsidRDefault="007E710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2B3480" w:rsidRPr="00BD3287" w14:paraId="40010DB4" w14:textId="77777777" w:rsidTr="00164FB2">
        <w:tc>
          <w:tcPr>
            <w:tcW w:w="2457" w:type="dxa"/>
          </w:tcPr>
          <w:p w14:paraId="4F505DF4" w14:textId="77777777" w:rsidR="002B3480" w:rsidRPr="00BC569F" w:rsidRDefault="001077E7" w:rsidP="001077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9F">
              <w:rPr>
                <w:rFonts w:ascii="Times New Roman" w:hAnsi="Times New Roman" w:cs="Times New Roman"/>
                <w:b/>
                <w:sz w:val="24"/>
                <w:szCs w:val="24"/>
              </w:rPr>
              <w:t>VACCINARE IN GRAVIDANZA: ISTRUZIONI PER L’USO</w:t>
            </w:r>
            <w:proofErr w:type="gramStart"/>
            <w:r w:rsidRPr="00BC5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</w:p>
        </w:tc>
        <w:tc>
          <w:tcPr>
            <w:tcW w:w="2444" w:type="dxa"/>
          </w:tcPr>
          <w:p w14:paraId="593130C8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F294C0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E55E36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671E9C0E" w14:textId="77777777" w:rsidTr="00164FB2">
        <w:tc>
          <w:tcPr>
            <w:tcW w:w="2457" w:type="dxa"/>
          </w:tcPr>
          <w:p w14:paraId="037789D6" w14:textId="77777777" w:rsidR="002B3480" w:rsidRPr="00164FB2" w:rsidRDefault="001077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FB2">
              <w:rPr>
                <w:rFonts w:ascii="Times New Roman" w:hAnsi="Times New Roman" w:cs="Times New Roman"/>
                <w:b/>
                <w:sz w:val="24"/>
                <w:szCs w:val="24"/>
              </w:rPr>
              <w:t>L’INFLUENZA E LE SUE COMPLICANZE IN GRAVIDANZA</w:t>
            </w:r>
            <w:proofErr w:type="gramStart"/>
            <w:r w:rsidRPr="00164F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444" w:type="dxa"/>
          </w:tcPr>
          <w:p w14:paraId="1BEF893F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F70F9B2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C280A44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35104646" w14:textId="77777777" w:rsidTr="00164FB2">
        <w:tc>
          <w:tcPr>
            <w:tcW w:w="2457" w:type="dxa"/>
          </w:tcPr>
          <w:p w14:paraId="1C55BE9F" w14:textId="77777777" w:rsidR="002B3480" w:rsidRPr="00BD3287" w:rsidRDefault="001077E7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L’influenza rappresenta un serio problema di Sanità Pubblica e una rilevante fonte di costi diretti e indiretti per la gestione dei casi in fase acuta e delle complicanze.</w:t>
            </w:r>
          </w:p>
        </w:tc>
        <w:tc>
          <w:tcPr>
            <w:tcW w:w="2444" w:type="dxa"/>
          </w:tcPr>
          <w:p w14:paraId="207EA51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58F45B5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4720400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6567837F" w14:textId="77777777" w:rsidTr="00164FB2">
        <w:tc>
          <w:tcPr>
            <w:tcW w:w="2457" w:type="dxa"/>
          </w:tcPr>
          <w:p w14:paraId="4C64AFD7" w14:textId="77777777" w:rsidR="002B3480" w:rsidRPr="00BD3287" w:rsidRDefault="00107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Il Centro Europeo per il controllo delle Malattie (ECDC) stima che ogni anno, in Europa,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si verificano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dai 4 ai 50 milioni di casi di influenza e che 15.000/70.000 cittadini europei muoiono ogni anno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 complicanze dell’influenza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4DBA9EBA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B68145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2E063F5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0BA1EF25" w14:textId="77777777" w:rsidTr="00164FB2">
        <w:tc>
          <w:tcPr>
            <w:tcW w:w="2457" w:type="dxa"/>
          </w:tcPr>
          <w:p w14:paraId="4F2C82A4" w14:textId="77777777" w:rsidR="002B3480" w:rsidRPr="00BD3287" w:rsidRDefault="001077E7" w:rsidP="00210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I soggetti più a rischio di contrarre la patologia e di sviluppare complicanze, compresa una maggiore mortalità, sono, oltre agli anziani e alle persone con patologie croniche, le donne gravide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neonati nei primi mesi di vita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799CAFCE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B117710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81152CA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5ED36088" w14:textId="77777777" w:rsidTr="00164FB2">
        <w:tc>
          <w:tcPr>
            <w:tcW w:w="2457" w:type="dxa"/>
          </w:tcPr>
          <w:p w14:paraId="5E601729" w14:textId="77777777" w:rsidR="002B3480" w:rsidRPr="00BD3287" w:rsidRDefault="00107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L’influenza contratta in corso di gravidanza determina un forte aumento dei decessi e dei tassi di ospedalizzazione per complicanze cardiopolmonari 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rispetto a quanto accade nella popolazione generale.</w:t>
            </w:r>
          </w:p>
        </w:tc>
        <w:tc>
          <w:tcPr>
            <w:tcW w:w="2444" w:type="dxa"/>
          </w:tcPr>
          <w:p w14:paraId="27656CFE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91311BB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B9C1B62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1817B6AB" w14:textId="77777777" w:rsidTr="00164FB2">
        <w:tc>
          <w:tcPr>
            <w:tcW w:w="2457" w:type="dxa"/>
          </w:tcPr>
          <w:p w14:paraId="6E2B2AD4" w14:textId="77777777" w:rsidR="002B3480" w:rsidRPr="00BD3287" w:rsidRDefault="001077E7" w:rsidP="00107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Il 5% di tutti i decessi correlati all’influenza da H1N1 (nota anche come suina), nel corso della pandemia del 2009 si è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verificato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in corso di gravidanza, anche se le donne gravide rappresentavano solo l’1% della popolazione complessiva degli affetti.</w:t>
            </w:r>
          </w:p>
        </w:tc>
        <w:tc>
          <w:tcPr>
            <w:tcW w:w="2444" w:type="dxa"/>
          </w:tcPr>
          <w:p w14:paraId="0916F6AA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1017DBF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141E5BF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6C02873E" w14:textId="77777777" w:rsidTr="00164FB2">
        <w:tc>
          <w:tcPr>
            <w:tcW w:w="2457" w:type="dxa"/>
          </w:tcPr>
          <w:p w14:paraId="60C76F46" w14:textId="77777777" w:rsidR="002B3480" w:rsidRPr="00BD3287" w:rsidRDefault="008B459A" w:rsidP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All’aumentato rischio di morte per influenza contratta in gravidanza, si aggiungono i rischi di esito gravidico avverso: aborti, nati morti, decessi neonatali, nascite pretermine, basso peso alla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nascita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5E04B043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4EAE064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1AF454D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7AFC4C32" w14:textId="77777777" w:rsidTr="00164FB2">
        <w:tc>
          <w:tcPr>
            <w:tcW w:w="2457" w:type="dxa"/>
          </w:tcPr>
          <w:p w14:paraId="380B417F" w14:textId="77777777" w:rsidR="002B3480" w:rsidRPr="00BD3287" w:rsidRDefault="008B459A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I neonati fino a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mesi, a causa dell’immaturità del sistema immunitario e cardiorespiratorio, sono maggiormente vulnerabili e soggetti a complicanze che richiedono il ricovero ospedaliero (polmonite, laringo-tracheo- bronchite, encefalopatia) e ad una mortalità più elevata</w:t>
            </w:r>
          </w:p>
        </w:tc>
        <w:tc>
          <w:tcPr>
            <w:tcW w:w="2444" w:type="dxa"/>
          </w:tcPr>
          <w:p w14:paraId="22DC753D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E8A5F4D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D770B6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BD3287" w14:paraId="4095D840" w14:textId="77777777" w:rsidTr="00164FB2">
        <w:tc>
          <w:tcPr>
            <w:tcW w:w="2457" w:type="dxa"/>
          </w:tcPr>
          <w:p w14:paraId="3C0410B4" w14:textId="77777777" w:rsidR="002B3480" w:rsidRPr="00BD3287" w:rsidRDefault="00BC569F" w:rsidP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Negli anni 2006-2012, attraverso procedure di record-linkage di flussi sanitari in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regioni (Lombardia, Piemonte, Friuli Venezia Giulia, Emilia-Romagna, Toscana, Lazio, Campania, Puglia, Sardegna e Sicilia), 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che coprono il 77% dei nati nel Paese, è stato stimato un rapporto di mortalità materna (MMR) pari a 9,2 decessi ogni 100.000 nati vivi.</w:t>
            </w:r>
          </w:p>
        </w:tc>
        <w:tc>
          <w:tcPr>
            <w:tcW w:w="2444" w:type="dxa"/>
          </w:tcPr>
          <w:p w14:paraId="03018AA8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D310A86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D6D9911" w14:textId="77777777" w:rsidR="002B3480" w:rsidRPr="00BD328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79483C" w14:paraId="33EB031F" w14:textId="77777777" w:rsidTr="00164FB2">
        <w:tc>
          <w:tcPr>
            <w:tcW w:w="2457" w:type="dxa"/>
          </w:tcPr>
          <w:p w14:paraId="4F95D622" w14:textId="77777777" w:rsidR="002B3480" w:rsidRPr="001077E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 sepsi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risulta essere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la quarta causa di mortalità materna diretta, responsabile del 7% di tutti i decessi. Il MMR specifico pari a 0,31 per 100.000 nati vivi comprende le morti dirette e indirette da sepsi avvenute entro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 giorni dall’esito della gravidanza</w:t>
            </w:r>
          </w:p>
        </w:tc>
        <w:tc>
          <w:tcPr>
            <w:tcW w:w="2444" w:type="dxa"/>
          </w:tcPr>
          <w:p w14:paraId="4244A9BF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F30E498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1BE7DBF" w14:textId="77777777" w:rsidR="002B3480" w:rsidRPr="001077E7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287" w:rsidRPr="00BD3287" w14:paraId="1DFC675E" w14:textId="77777777" w:rsidTr="00164FB2">
        <w:tc>
          <w:tcPr>
            <w:tcW w:w="2457" w:type="dxa"/>
          </w:tcPr>
          <w:p w14:paraId="59E3841E" w14:textId="77777777" w:rsidR="00BD3287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Tra queste vanno considerate anche le morti indirette che includono anche i decessi dovuti all’influenza e alle infezioni respiratorie, che talvolta configurano quadri clinici di difficile identificazione e gestione </w:t>
            </w:r>
            <w:proofErr w:type="gramStart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clinica</w:t>
            </w:r>
            <w:proofErr w:type="gramEnd"/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4" w:type="dxa"/>
          </w:tcPr>
          <w:p w14:paraId="08505429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CB95388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CC64972" w14:textId="77777777" w:rsidR="00BD3287" w:rsidRPr="00BD3287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59A" w:rsidRPr="00BD3287" w14:paraId="5432C72A" w14:textId="77777777" w:rsidTr="00164FB2">
        <w:tc>
          <w:tcPr>
            <w:tcW w:w="2457" w:type="dxa"/>
          </w:tcPr>
          <w:p w14:paraId="77164987" w14:textId="77777777" w:rsidR="008B459A" w:rsidRPr="00BC569F" w:rsidRDefault="00BC569F" w:rsidP="00BC56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6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VACCINO ANTINFLUENZALE </w:t>
            </w:r>
          </w:p>
        </w:tc>
        <w:tc>
          <w:tcPr>
            <w:tcW w:w="2444" w:type="dxa"/>
          </w:tcPr>
          <w:p w14:paraId="2D0FABB7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D3B6611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AC78B2A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59A" w:rsidRPr="00BD3287" w14:paraId="445163BC" w14:textId="77777777" w:rsidTr="00164FB2">
        <w:tc>
          <w:tcPr>
            <w:tcW w:w="2457" w:type="dxa"/>
          </w:tcPr>
          <w:p w14:paraId="3B0F684E" w14:textId="77777777" w:rsidR="008B459A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Il vaccino antinfluenzale è efficace sempre, ma va offerto nel periodo stagionale di epidemia.</w:t>
            </w:r>
          </w:p>
        </w:tc>
        <w:tc>
          <w:tcPr>
            <w:tcW w:w="2444" w:type="dxa"/>
          </w:tcPr>
          <w:p w14:paraId="59214E34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DC200DF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6A85F00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59A" w:rsidRPr="00BD3287" w14:paraId="14781397" w14:textId="77777777" w:rsidTr="00164FB2">
        <w:tc>
          <w:tcPr>
            <w:tcW w:w="2457" w:type="dxa"/>
          </w:tcPr>
          <w:p w14:paraId="016BE9E2" w14:textId="77777777" w:rsidR="008B459A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>Le donne gravide raggiungono la siero-protezione con tassi anticorpali simili a quelli delle donne non gravide, sebbene possano esserci alcune differenze individuali nella risposta anticorpale.</w:t>
            </w:r>
          </w:p>
        </w:tc>
        <w:tc>
          <w:tcPr>
            <w:tcW w:w="2444" w:type="dxa"/>
          </w:tcPr>
          <w:p w14:paraId="23F83AA0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4EDD675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3490CAD" w14:textId="77777777" w:rsidR="008B459A" w:rsidRPr="00BD3287" w:rsidRDefault="008B4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69F" w:rsidRPr="00BD3287" w14:paraId="1A0C735A" w14:textId="77777777" w:rsidTr="00164FB2">
        <w:tc>
          <w:tcPr>
            <w:tcW w:w="2457" w:type="dxa"/>
          </w:tcPr>
          <w:p w14:paraId="5D9455AB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23B">
              <w:rPr>
                <w:rFonts w:ascii="Times New Roman" w:hAnsi="Times New Roman" w:cs="Times New Roman"/>
                <w:sz w:val="24"/>
                <w:szCs w:val="24"/>
              </w:rPr>
              <w:t xml:space="preserve">Il vaccino somministrato durante </w:t>
            </w:r>
            <w:r w:rsidRPr="002D1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 gravidanza protegge sia la mamma, riducendo il rischio di ricovero almeno del 50%, che il bambino, riducendo significativamente i casi di malattia e di otite nei primi due mesi di vita.</w:t>
            </w:r>
          </w:p>
        </w:tc>
        <w:tc>
          <w:tcPr>
            <w:tcW w:w="2444" w:type="dxa"/>
          </w:tcPr>
          <w:p w14:paraId="1EA76018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61E4825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2C27B99" w14:textId="77777777" w:rsidR="00BC569F" w:rsidRPr="00BD3287" w:rsidRDefault="00BC56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B20435" w14:textId="77777777" w:rsidR="00DC299A" w:rsidRPr="00BD3287" w:rsidRDefault="00DC299A">
      <w:pPr>
        <w:rPr>
          <w:rFonts w:ascii="Times New Roman" w:hAnsi="Times New Roman" w:cs="Times New Roman"/>
          <w:sz w:val="20"/>
          <w:szCs w:val="20"/>
        </w:rPr>
      </w:pPr>
    </w:p>
    <w:p w14:paraId="4A584E27" w14:textId="77777777" w:rsidR="002B3480" w:rsidRPr="00BD3287" w:rsidRDefault="002B3480">
      <w:pPr>
        <w:rPr>
          <w:rFonts w:ascii="Times New Roman" w:hAnsi="Times New Roman" w:cs="Times New Roman"/>
          <w:sz w:val="20"/>
          <w:szCs w:val="20"/>
        </w:rPr>
      </w:pPr>
    </w:p>
    <w:p w14:paraId="38BB1366" w14:textId="77777777" w:rsidR="002B3480" w:rsidRPr="00BD3287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3480" w:rsidRPr="00BD32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1077E7"/>
    <w:rsid w:val="00164FB2"/>
    <w:rsid w:val="002105A9"/>
    <w:rsid w:val="002B3480"/>
    <w:rsid w:val="003257D0"/>
    <w:rsid w:val="003E47FF"/>
    <w:rsid w:val="0079483C"/>
    <w:rsid w:val="007E7104"/>
    <w:rsid w:val="008B459A"/>
    <w:rsid w:val="00B3455E"/>
    <w:rsid w:val="00BC569F"/>
    <w:rsid w:val="00BD3287"/>
    <w:rsid w:val="00D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E42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472</Words>
  <Characters>2726</Characters>
  <Application>Microsoft Macintosh Word</Application>
  <DocSecurity>0</DocSecurity>
  <Lines>227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13</cp:revision>
  <dcterms:created xsi:type="dcterms:W3CDTF">2019-08-05T19:31:00Z</dcterms:created>
  <dcterms:modified xsi:type="dcterms:W3CDTF">2019-09-20T15:59:00Z</dcterms:modified>
  <cp:category/>
</cp:coreProperties>
</file>