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2606"/>
        <w:gridCol w:w="2414"/>
        <w:gridCol w:w="2420"/>
        <w:gridCol w:w="2414"/>
      </w:tblGrid>
      <w:tr w:rsidR="00592531" w:rsidRPr="00592531" w14:paraId="1899E554" w14:textId="77777777" w:rsidTr="62B7F768">
        <w:tc>
          <w:tcPr>
            <w:tcW w:w="2606" w:type="dxa"/>
          </w:tcPr>
          <w:p w14:paraId="00F2215A" w14:textId="77777777" w:rsidR="00592531" w:rsidRPr="00592531" w:rsidRDefault="00592531">
            <w:pPr>
              <w:rPr>
                <w:rFonts w:ascii="Times New Roman" w:hAnsi="Times New Roman" w:cs="Times New Roman"/>
                <w:sz w:val="20"/>
                <w:szCs w:val="20"/>
              </w:rPr>
            </w:pPr>
            <w:bookmarkStart w:id="0" w:name="_GoBack"/>
            <w:bookmarkEnd w:id="0"/>
            <w:r w:rsidRPr="00592531">
              <w:rPr>
                <w:rFonts w:ascii="Times New Roman" w:hAnsi="Times New Roman" w:cs="Times New Roman"/>
                <w:b/>
                <w:color w:val="FF0000"/>
                <w:sz w:val="20"/>
                <w:szCs w:val="20"/>
              </w:rPr>
              <w:t>Testo di partenza</w:t>
            </w:r>
          </w:p>
        </w:tc>
        <w:tc>
          <w:tcPr>
            <w:tcW w:w="2414" w:type="dxa"/>
          </w:tcPr>
          <w:p w14:paraId="63F61FAF" w14:textId="77777777" w:rsidR="00592531" w:rsidRPr="00592531" w:rsidRDefault="00592531">
            <w:pPr>
              <w:rPr>
                <w:rFonts w:ascii="Times New Roman" w:hAnsi="Times New Roman" w:cs="Times New Roman"/>
                <w:sz w:val="20"/>
                <w:szCs w:val="20"/>
              </w:rPr>
            </w:pPr>
            <w:r w:rsidRPr="00592531">
              <w:rPr>
                <w:rFonts w:ascii="Times New Roman" w:hAnsi="Times New Roman" w:cs="Times New Roman"/>
                <w:b/>
                <w:color w:val="FF0000"/>
                <w:sz w:val="20"/>
                <w:szCs w:val="20"/>
              </w:rPr>
              <w:t>Testo tradotto dal candidato</w:t>
            </w:r>
          </w:p>
        </w:tc>
        <w:tc>
          <w:tcPr>
            <w:tcW w:w="2420" w:type="dxa"/>
          </w:tcPr>
          <w:p w14:paraId="742A59EF" w14:textId="77777777" w:rsidR="00592531" w:rsidRPr="00592531" w:rsidRDefault="00592531">
            <w:pPr>
              <w:rPr>
                <w:rFonts w:ascii="Times New Roman" w:hAnsi="Times New Roman" w:cs="Times New Roman"/>
                <w:sz w:val="20"/>
                <w:szCs w:val="20"/>
              </w:rPr>
            </w:pPr>
            <w:r w:rsidRPr="00592531">
              <w:rPr>
                <w:rFonts w:ascii="Times New Roman" w:hAnsi="Times New Roman" w:cs="Times New Roman"/>
                <w:b/>
                <w:color w:val="FF0000"/>
                <w:sz w:val="20"/>
                <w:szCs w:val="20"/>
              </w:rPr>
              <w:t>Spazio a disposizione del correttore</w:t>
            </w:r>
          </w:p>
        </w:tc>
        <w:tc>
          <w:tcPr>
            <w:tcW w:w="2414" w:type="dxa"/>
          </w:tcPr>
          <w:p w14:paraId="17C91791" w14:textId="77777777" w:rsidR="00592531" w:rsidRPr="00592531" w:rsidRDefault="00592531">
            <w:pPr>
              <w:rPr>
                <w:rFonts w:ascii="Times New Roman" w:hAnsi="Times New Roman" w:cs="Times New Roman"/>
                <w:sz w:val="20"/>
                <w:szCs w:val="20"/>
              </w:rPr>
            </w:pPr>
            <w:r w:rsidRPr="00592531">
              <w:rPr>
                <w:rFonts w:ascii="Times New Roman" w:hAnsi="Times New Roman" w:cs="Times New Roman"/>
                <w:b/>
                <w:color w:val="FF0000"/>
                <w:sz w:val="20"/>
                <w:szCs w:val="20"/>
              </w:rPr>
              <w:t>P</w:t>
            </w:r>
            <w:r w:rsidR="00C46B5E">
              <w:rPr>
                <w:rFonts w:ascii="Times New Roman" w:hAnsi="Times New Roman" w:cs="Times New Roman"/>
                <w:b/>
                <w:color w:val="FF0000"/>
                <w:sz w:val="20"/>
                <w:szCs w:val="20"/>
              </w:rPr>
              <w:t>enalità</w:t>
            </w:r>
          </w:p>
        </w:tc>
      </w:tr>
      <w:tr w:rsidR="00592531" w:rsidRPr="00592531" w14:paraId="62077700" w14:textId="77777777" w:rsidTr="62B7F768">
        <w:tc>
          <w:tcPr>
            <w:tcW w:w="2606" w:type="dxa"/>
          </w:tcPr>
          <w:p w14:paraId="62FF7E36" w14:textId="77777777" w:rsidR="00592531" w:rsidRPr="00592531" w:rsidRDefault="00592531" w:rsidP="62B7F768">
            <w:pPr>
              <w:pBdr>
                <w:bottom w:val="dotted" w:sz="2" w:space="0" w:color="999999"/>
              </w:pBdr>
              <w:spacing w:before="158" w:after="158"/>
              <w:outlineLvl w:val="0"/>
              <w:rPr>
                <w:rFonts w:ascii="Times New Roman" w:eastAsia="Times New Roman" w:hAnsi="Times New Roman" w:cs="Times New Roman"/>
                <w:b/>
                <w:bCs/>
                <w:sz w:val="20"/>
                <w:szCs w:val="20"/>
                <w:lang w:val="de-DE" w:eastAsia="it-IT"/>
              </w:rPr>
            </w:pPr>
            <w:r w:rsidRPr="62B7F768">
              <w:rPr>
                <w:rFonts w:ascii="Times New Roman" w:eastAsia="Times New Roman" w:hAnsi="Times New Roman" w:cs="Times New Roman"/>
                <w:b/>
                <w:bCs/>
                <w:kern w:val="36"/>
                <w:sz w:val="20"/>
                <w:szCs w:val="20"/>
                <w:lang w:val="de-DE" w:eastAsia="it-IT"/>
              </w:rPr>
              <w:t>Verträgliche Immuntherapie: Krebsmittel wirken nur im Tumor</w:t>
            </w:r>
          </w:p>
          <w:p w14:paraId="7E99CE61" w14:textId="77777777" w:rsidR="00592531" w:rsidRPr="00592531" w:rsidRDefault="00592531" w:rsidP="00592531">
            <w:pPr>
              <w:spacing w:after="144" w:line="288" w:lineRule="atLeast"/>
              <w:rPr>
                <w:rFonts w:ascii="Times New Roman" w:hAnsi="Times New Roman" w:cs="Times New Roman"/>
                <w:sz w:val="20"/>
                <w:szCs w:val="20"/>
                <w:lang w:val="de-DE"/>
              </w:rPr>
            </w:pPr>
            <w:r w:rsidRPr="00592531">
              <w:rPr>
                <w:rFonts w:ascii="Times New Roman" w:eastAsia="Times New Roman" w:hAnsi="Times New Roman" w:cs="Times New Roman"/>
                <w:b/>
                <w:bCs/>
                <w:color w:val="000000"/>
                <w:sz w:val="20"/>
                <w:szCs w:val="20"/>
                <w:lang w:val="de-DE" w:eastAsia="it-IT"/>
              </w:rPr>
              <w:t xml:space="preserve">Immobilisierung injizierter </w:t>
            </w:r>
            <w:proofErr w:type="spellStart"/>
            <w:r w:rsidRPr="00592531">
              <w:rPr>
                <w:rFonts w:ascii="Times New Roman" w:eastAsia="Times New Roman" w:hAnsi="Times New Roman" w:cs="Times New Roman"/>
                <w:b/>
                <w:bCs/>
                <w:color w:val="000000"/>
                <w:sz w:val="20"/>
                <w:szCs w:val="20"/>
                <w:lang w:val="de-DE" w:eastAsia="it-IT"/>
              </w:rPr>
              <w:t>Zytokine</w:t>
            </w:r>
            <w:proofErr w:type="spellEnd"/>
            <w:r w:rsidRPr="00592531">
              <w:rPr>
                <w:rFonts w:ascii="Times New Roman" w:eastAsia="Times New Roman" w:hAnsi="Times New Roman" w:cs="Times New Roman"/>
                <w:b/>
                <w:bCs/>
                <w:color w:val="000000"/>
                <w:sz w:val="20"/>
                <w:szCs w:val="20"/>
                <w:lang w:val="de-DE" w:eastAsia="it-IT"/>
              </w:rPr>
              <w:t xml:space="preserve"> ermöglicht höhere Dosierung und verringert Schäden in anderen Regionen des Körpers</w:t>
            </w:r>
          </w:p>
        </w:tc>
        <w:tc>
          <w:tcPr>
            <w:tcW w:w="2414" w:type="dxa"/>
          </w:tcPr>
          <w:p w14:paraId="6D8F6D99" w14:textId="77777777" w:rsidR="00592531" w:rsidRPr="00592531" w:rsidRDefault="00592531">
            <w:pPr>
              <w:rPr>
                <w:rFonts w:ascii="Times New Roman" w:hAnsi="Times New Roman" w:cs="Times New Roman"/>
                <w:sz w:val="20"/>
                <w:szCs w:val="20"/>
                <w:lang w:val="de-DE"/>
              </w:rPr>
            </w:pPr>
          </w:p>
        </w:tc>
        <w:tc>
          <w:tcPr>
            <w:tcW w:w="2420" w:type="dxa"/>
          </w:tcPr>
          <w:p w14:paraId="326C8B48" w14:textId="77777777" w:rsidR="00592531" w:rsidRPr="00592531" w:rsidRDefault="00592531">
            <w:pPr>
              <w:rPr>
                <w:rFonts w:ascii="Times New Roman" w:hAnsi="Times New Roman" w:cs="Times New Roman"/>
                <w:sz w:val="20"/>
                <w:szCs w:val="20"/>
                <w:lang w:val="de-DE"/>
              </w:rPr>
            </w:pPr>
          </w:p>
        </w:tc>
        <w:tc>
          <w:tcPr>
            <w:tcW w:w="2414" w:type="dxa"/>
          </w:tcPr>
          <w:p w14:paraId="09281703" w14:textId="77777777" w:rsidR="00592531" w:rsidRPr="00592531" w:rsidRDefault="00592531">
            <w:pPr>
              <w:rPr>
                <w:rFonts w:ascii="Times New Roman" w:hAnsi="Times New Roman" w:cs="Times New Roman"/>
                <w:sz w:val="20"/>
                <w:szCs w:val="20"/>
                <w:lang w:val="de-DE"/>
              </w:rPr>
            </w:pPr>
          </w:p>
        </w:tc>
      </w:tr>
      <w:tr w:rsidR="00592531" w:rsidRPr="00592531" w14:paraId="22B08A70" w14:textId="77777777" w:rsidTr="62B7F768">
        <w:tc>
          <w:tcPr>
            <w:tcW w:w="2606" w:type="dxa"/>
          </w:tcPr>
          <w:p w14:paraId="536D1B95"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Cambridge (USA) - </w:t>
            </w:r>
            <w:r w:rsidRPr="00592531">
              <w:rPr>
                <w:rFonts w:ascii="Times New Roman" w:eastAsia="Times New Roman" w:hAnsi="Times New Roman" w:cs="Times New Roman"/>
                <w:noProof/>
                <w:color w:val="000000"/>
                <w:sz w:val="20"/>
                <w:szCs w:val="20"/>
                <w:lang w:eastAsia="it-IT"/>
              </w:rPr>
              <w:drawing>
                <wp:inline distT="0" distB="0" distL="0" distR="0" wp14:anchorId="223159FF" wp14:editId="5A564674">
                  <wp:extent cx="9525" cy="9525"/>
                  <wp:effectExtent l="0" t="0" r="0" b="0"/>
                  <wp:docPr id="1" name="Immagine 1" descr="https://vg08.met.vgwort.de/na/eb7af23888154448a1c3c4223d0c58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g08.met.vgwort.de/na/eb7af23888154448a1c3c4223d0c583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92531">
              <w:rPr>
                <w:rFonts w:ascii="Times New Roman" w:eastAsia="Times New Roman" w:hAnsi="Times New Roman" w:cs="Times New Roman"/>
                <w:color w:val="000000"/>
                <w:sz w:val="20"/>
                <w:szCs w:val="20"/>
                <w:lang w:val="de-DE" w:eastAsia="it-IT"/>
              </w:rPr>
              <w:t xml:space="preserve">Bestimmte Botenstoffe aus der Gruppe der </w:t>
            </w:r>
            <w:proofErr w:type="spellStart"/>
            <w:r w:rsidRPr="00592531">
              <w:rPr>
                <w:rFonts w:ascii="Times New Roman" w:eastAsia="Times New Roman" w:hAnsi="Times New Roman" w:cs="Times New Roman"/>
                <w:color w:val="000000"/>
                <w:sz w:val="20"/>
                <w:szCs w:val="20"/>
                <w:lang w:val="de-DE" w:eastAsia="it-IT"/>
              </w:rPr>
              <w:t>Zytokine</w:t>
            </w:r>
            <w:proofErr w:type="spellEnd"/>
            <w:r w:rsidRPr="00592531">
              <w:rPr>
                <w:rFonts w:ascii="Times New Roman" w:eastAsia="Times New Roman" w:hAnsi="Times New Roman" w:cs="Times New Roman"/>
                <w:color w:val="000000"/>
                <w:sz w:val="20"/>
                <w:szCs w:val="20"/>
                <w:lang w:val="de-DE" w:eastAsia="it-IT"/>
              </w:rPr>
              <w:t xml:space="preserve"> können die Immunabwehr aktivieren und so die Bekämpfung von Krebszellen verstärken. Bisher ist ihr therapeutischer Einsatz aber kaum möglich, da sie auch gesundes Gewebe zu stark schädigen.</w:t>
            </w:r>
          </w:p>
        </w:tc>
        <w:tc>
          <w:tcPr>
            <w:tcW w:w="2414" w:type="dxa"/>
          </w:tcPr>
          <w:p w14:paraId="1BC80224" w14:textId="77777777" w:rsidR="00592531" w:rsidRPr="00592531" w:rsidRDefault="00592531">
            <w:pPr>
              <w:rPr>
                <w:rFonts w:ascii="Times New Roman" w:hAnsi="Times New Roman" w:cs="Times New Roman"/>
                <w:sz w:val="20"/>
                <w:szCs w:val="20"/>
                <w:lang w:val="de-DE"/>
              </w:rPr>
            </w:pPr>
          </w:p>
        </w:tc>
        <w:tc>
          <w:tcPr>
            <w:tcW w:w="2420" w:type="dxa"/>
          </w:tcPr>
          <w:p w14:paraId="6306DED7" w14:textId="77777777" w:rsidR="00592531" w:rsidRPr="00592531" w:rsidRDefault="00592531">
            <w:pPr>
              <w:rPr>
                <w:rFonts w:ascii="Times New Roman" w:hAnsi="Times New Roman" w:cs="Times New Roman"/>
                <w:sz w:val="20"/>
                <w:szCs w:val="20"/>
                <w:lang w:val="de-DE"/>
              </w:rPr>
            </w:pPr>
          </w:p>
        </w:tc>
        <w:tc>
          <w:tcPr>
            <w:tcW w:w="2414" w:type="dxa"/>
          </w:tcPr>
          <w:p w14:paraId="199FCE0D" w14:textId="77777777" w:rsidR="00592531" w:rsidRPr="00592531" w:rsidRDefault="00592531">
            <w:pPr>
              <w:rPr>
                <w:rFonts w:ascii="Times New Roman" w:hAnsi="Times New Roman" w:cs="Times New Roman"/>
                <w:sz w:val="20"/>
                <w:szCs w:val="20"/>
                <w:lang w:val="de-DE"/>
              </w:rPr>
            </w:pPr>
          </w:p>
        </w:tc>
      </w:tr>
      <w:tr w:rsidR="00592531" w:rsidRPr="00592531" w14:paraId="2F840C72" w14:textId="77777777" w:rsidTr="62B7F768">
        <w:tc>
          <w:tcPr>
            <w:tcW w:w="2606" w:type="dxa"/>
          </w:tcPr>
          <w:p w14:paraId="69BBA9A0"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Doch jetzt ist es amerikanischen Medizinern gelungen, die </w:t>
            </w:r>
            <w:proofErr w:type="gramStart"/>
            <w:r w:rsidRPr="00592531">
              <w:rPr>
                <w:rFonts w:ascii="Times New Roman" w:eastAsia="Times New Roman" w:hAnsi="Times New Roman" w:cs="Times New Roman"/>
                <w:color w:val="000000"/>
                <w:sz w:val="20"/>
                <w:szCs w:val="20"/>
                <w:lang w:val="de-DE" w:eastAsia="it-IT"/>
              </w:rPr>
              <w:t xml:space="preserve">Wirkung zweier </w:t>
            </w:r>
            <w:proofErr w:type="spellStart"/>
            <w:r w:rsidRPr="00592531">
              <w:rPr>
                <w:rFonts w:ascii="Times New Roman" w:eastAsia="Times New Roman" w:hAnsi="Times New Roman" w:cs="Times New Roman"/>
                <w:color w:val="000000"/>
                <w:sz w:val="20"/>
                <w:szCs w:val="20"/>
                <w:lang w:val="de-DE" w:eastAsia="it-IT"/>
              </w:rPr>
              <w:t>Zytokine</w:t>
            </w:r>
            <w:proofErr w:type="spellEnd"/>
            <w:r w:rsidRPr="00592531">
              <w:rPr>
                <w:rFonts w:ascii="Times New Roman" w:eastAsia="Times New Roman" w:hAnsi="Times New Roman" w:cs="Times New Roman"/>
                <w:color w:val="000000"/>
                <w:sz w:val="20"/>
                <w:szCs w:val="20"/>
                <w:lang w:val="de-DE" w:eastAsia="it-IT"/>
              </w:rPr>
              <w:t xml:space="preserve"> nach Injektion in einen Tumor</w:t>
            </w:r>
            <w:proofErr w:type="gramEnd"/>
            <w:r w:rsidRPr="00592531">
              <w:rPr>
                <w:rFonts w:ascii="Times New Roman" w:eastAsia="Times New Roman" w:hAnsi="Times New Roman" w:cs="Times New Roman"/>
                <w:color w:val="000000"/>
                <w:sz w:val="20"/>
                <w:szCs w:val="20"/>
                <w:lang w:val="de-DE" w:eastAsia="it-IT"/>
              </w:rPr>
              <w:t xml:space="preserve"> lokal zu begrenzen und dadurch höhere Dosierungen bei geringeren Nebenwirkungen zu ermöglichen.</w:t>
            </w:r>
          </w:p>
        </w:tc>
        <w:tc>
          <w:tcPr>
            <w:tcW w:w="2414" w:type="dxa"/>
          </w:tcPr>
          <w:p w14:paraId="5F674F24" w14:textId="77777777" w:rsidR="00592531" w:rsidRPr="00592531" w:rsidRDefault="00592531">
            <w:pPr>
              <w:rPr>
                <w:rFonts w:ascii="Times New Roman" w:hAnsi="Times New Roman" w:cs="Times New Roman"/>
                <w:sz w:val="20"/>
                <w:szCs w:val="20"/>
                <w:lang w:val="de-DE"/>
              </w:rPr>
            </w:pPr>
          </w:p>
        </w:tc>
        <w:tc>
          <w:tcPr>
            <w:tcW w:w="2420" w:type="dxa"/>
          </w:tcPr>
          <w:p w14:paraId="19540720" w14:textId="77777777" w:rsidR="00592531" w:rsidRPr="00592531" w:rsidRDefault="00592531">
            <w:pPr>
              <w:rPr>
                <w:rFonts w:ascii="Times New Roman" w:hAnsi="Times New Roman" w:cs="Times New Roman"/>
                <w:sz w:val="20"/>
                <w:szCs w:val="20"/>
                <w:lang w:val="de-DE"/>
              </w:rPr>
            </w:pPr>
          </w:p>
        </w:tc>
        <w:tc>
          <w:tcPr>
            <w:tcW w:w="2414" w:type="dxa"/>
          </w:tcPr>
          <w:p w14:paraId="47A21172" w14:textId="77777777" w:rsidR="00592531" w:rsidRPr="00592531" w:rsidRDefault="00592531">
            <w:pPr>
              <w:rPr>
                <w:rFonts w:ascii="Times New Roman" w:hAnsi="Times New Roman" w:cs="Times New Roman"/>
                <w:sz w:val="20"/>
                <w:szCs w:val="20"/>
                <w:lang w:val="de-DE"/>
              </w:rPr>
            </w:pPr>
          </w:p>
        </w:tc>
      </w:tr>
      <w:tr w:rsidR="00592531" w:rsidRPr="00592531" w14:paraId="44DB87B4" w14:textId="77777777" w:rsidTr="62B7F768">
        <w:tc>
          <w:tcPr>
            <w:tcW w:w="2606" w:type="dxa"/>
          </w:tcPr>
          <w:p w14:paraId="77DE3692"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Die beiden </w:t>
            </w:r>
            <w:proofErr w:type="spellStart"/>
            <w:r w:rsidRPr="00592531">
              <w:rPr>
                <w:rFonts w:ascii="Times New Roman" w:eastAsia="Times New Roman" w:hAnsi="Times New Roman" w:cs="Times New Roman"/>
                <w:color w:val="000000"/>
                <w:sz w:val="20"/>
                <w:szCs w:val="20"/>
                <w:lang w:val="de-DE" w:eastAsia="it-IT"/>
              </w:rPr>
              <w:t>Zytokine</w:t>
            </w:r>
            <w:proofErr w:type="spellEnd"/>
            <w:r w:rsidRPr="00592531">
              <w:rPr>
                <w:rFonts w:ascii="Times New Roman" w:eastAsia="Times New Roman" w:hAnsi="Times New Roman" w:cs="Times New Roman"/>
                <w:color w:val="000000"/>
                <w:sz w:val="20"/>
                <w:szCs w:val="20"/>
                <w:lang w:val="de-DE" w:eastAsia="it-IT"/>
              </w:rPr>
              <w:t xml:space="preserve"> Interleukin-2 (IL-2) und Interleukin-12 (IL-12) wurden mit einem Protein fusioniert, das sich an Kollagene anlagert, die als Bestandteil des Bindegewebes auch in allen Tumorarten vorkommen.</w:t>
            </w:r>
          </w:p>
        </w:tc>
        <w:tc>
          <w:tcPr>
            <w:tcW w:w="2414" w:type="dxa"/>
          </w:tcPr>
          <w:p w14:paraId="22E071FB" w14:textId="77777777" w:rsidR="00592531" w:rsidRPr="00592531" w:rsidRDefault="00592531">
            <w:pPr>
              <w:rPr>
                <w:rFonts w:ascii="Times New Roman" w:hAnsi="Times New Roman" w:cs="Times New Roman"/>
                <w:sz w:val="20"/>
                <w:szCs w:val="20"/>
                <w:lang w:val="de-DE"/>
              </w:rPr>
            </w:pPr>
          </w:p>
        </w:tc>
        <w:tc>
          <w:tcPr>
            <w:tcW w:w="2420" w:type="dxa"/>
          </w:tcPr>
          <w:p w14:paraId="1781763D" w14:textId="77777777" w:rsidR="00592531" w:rsidRPr="00592531" w:rsidRDefault="00592531">
            <w:pPr>
              <w:rPr>
                <w:rFonts w:ascii="Times New Roman" w:hAnsi="Times New Roman" w:cs="Times New Roman"/>
                <w:sz w:val="20"/>
                <w:szCs w:val="20"/>
                <w:lang w:val="de-DE"/>
              </w:rPr>
            </w:pPr>
          </w:p>
        </w:tc>
        <w:tc>
          <w:tcPr>
            <w:tcW w:w="2414" w:type="dxa"/>
          </w:tcPr>
          <w:p w14:paraId="5CA1C3A5" w14:textId="77777777" w:rsidR="00592531" w:rsidRPr="00592531" w:rsidRDefault="00592531">
            <w:pPr>
              <w:rPr>
                <w:rFonts w:ascii="Times New Roman" w:hAnsi="Times New Roman" w:cs="Times New Roman"/>
                <w:sz w:val="20"/>
                <w:szCs w:val="20"/>
                <w:lang w:val="de-DE"/>
              </w:rPr>
            </w:pPr>
          </w:p>
        </w:tc>
      </w:tr>
      <w:tr w:rsidR="00592531" w:rsidRPr="00592531" w14:paraId="4509921F" w14:textId="77777777" w:rsidTr="62B7F768">
        <w:tc>
          <w:tcPr>
            <w:tcW w:w="2606" w:type="dxa"/>
          </w:tcPr>
          <w:p w14:paraId="34F1DA69"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Die in dieser Form in einen Tumor injizierten Botenstoffe blieben im Krebsgewebe haften und breiteten sich nicht mehr im ganzen Körper aus. Eine solche Zusatzbehandlung erhöhte bei Mäusen den Erfolg einer Immuntherapie gegen tödliche Melanome beträchtlich, berichten die Forscher im Fachblatt „Science </w:t>
            </w:r>
            <w:proofErr w:type="spellStart"/>
            <w:r w:rsidRPr="00592531">
              <w:rPr>
                <w:rFonts w:ascii="Times New Roman" w:eastAsia="Times New Roman" w:hAnsi="Times New Roman" w:cs="Times New Roman"/>
                <w:color w:val="000000"/>
                <w:sz w:val="20"/>
                <w:szCs w:val="20"/>
                <w:lang w:val="de-DE" w:eastAsia="it-IT"/>
              </w:rPr>
              <w:t>Translational</w:t>
            </w:r>
            <w:proofErr w:type="spellEnd"/>
            <w:r w:rsidRPr="00592531">
              <w:rPr>
                <w:rFonts w:ascii="Times New Roman" w:eastAsia="Times New Roman" w:hAnsi="Times New Roman" w:cs="Times New Roman"/>
                <w:color w:val="000000"/>
                <w:sz w:val="20"/>
                <w:szCs w:val="20"/>
                <w:lang w:val="de-DE" w:eastAsia="it-IT"/>
              </w:rPr>
              <w:t xml:space="preserve"> </w:t>
            </w:r>
            <w:proofErr w:type="spellStart"/>
            <w:r w:rsidRPr="00592531">
              <w:rPr>
                <w:rFonts w:ascii="Times New Roman" w:eastAsia="Times New Roman" w:hAnsi="Times New Roman" w:cs="Times New Roman"/>
                <w:color w:val="000000"/>
                <w:sz w:val="20"/>
                <w:szCs w:val="20"/>
                <w:lang w:val="de-DE" w:eastAsia="it-IT"/>
              </w:rPr>
              <w:t>Medicine</w:t>
            </w:r>
            <w:proofErr w:type="spellEnd"/>
            <w:r w:rsidRPr="00592531">
              <w:rPr>
                <w:rFonts w:ascii="Times New Roman" w:eastAsia="Times New Roman" w:hAnsi="Times New Roman" w:cs="Times New Roman"/>
                <w:color w:val="000000"/>
                <w:sz w:val="20"/>
                <w:szCs w:val="20"/>
                <w:lang w:val="de-DE" w:eastAsia="it-IT"/>
              </w:rPr>
              <w:t>“.</w:t>
            </w:r>
          </w:p>
        </w:tc>
        <w:tc>
          <w:tcPr>
            <w:tcW w:w="2414" w:type="dxa"/>
          </w:tcPr>
          <w:p w14:paraId="3D54B5B4" w14:textId="77777777" w:rsidR="00592531" w:rsidRPr="00592531" w:rsidRDefault="00592531">
            <w:pPr>
              <w:rPr>
                <w:rFonts w:ascii="Times New Roman" w:hAnsi="Times New Roman" w:cs="Times New Roman"/>
                <w:sz w:val="20"/>
                <w:szCs w:val="20"/>
                <w:lang w:val="de-DE"/>
              </w:rPr>
            </w:pPr>
          </w:p>
        </w:tc>
        <w:tc>
          <w:tcPr>
            <w:tcW w:w="2420" w:type="dxa"/>
          </w:tcPr>
          <w:p w14:paraId="75CB7FC5" w14:textId="77777777" w:rsidR="00592531" w:rsidRPr="00592531" w:rsidRDefault="00592531">
            <w:pPr>
              <w:rPr>
                <w:rFonts w:ascii="Times New Roman" w:hAnsi="Times New Roman" w:cs="Times New Roman"/>
                <w:sz w:val="20"/>
                <w:szCs w:val="20"/>
                <w:lang w:val="de-DE"/>
              </w:rPr>
            </w:pPr>
          </w:p>
        </w:tc>
        <w:tc>
          <w:tcPr>
            <w:tcW w:w="2414" w:type="dxa"/>
          </w:tcPr>
          <w:p w14:paraId="1AF1B06A" w14:textId="77777777" w:rsidR="00592531" w:rsidRPr="00592531" w:rsidRDefault="00592531">
            <w:pPr>
              <w:rPr>
                <w:rFonts w:ascii="Times New Roman" w:hAnsi="Times New Roman" w:cs="Times New Roman"/>
                <w:sz w:val="20"/>
                <w:szCs w:val="20"/>
                <w:lang w:val="de-DE"/>
              </w:rPr>
            </w:pPr>
          </w:p>
        </w:tc>
      </w:tr>
      <w:tr w:rsidR="00592531" w:rsidRPr="00592531" w14:paraId="23906639" w14:textId="77777777" w:rsidTr="62B7F768">
        <w:tc>
          <w:tcPr>
            <w:tcW w:w="2606" w:type="dxa"/>
          </w:tcPr>
          <w:p w14:paraId="1B379145" w14:textId="77777777" w:rsidR="00592531" w:rsidRPr="00592531" w:rsidRDefault="00592531" w:rsidP="00D816D1">
            <w:pPr>
              <w:spacing w:line="0" w:lineRule="atLeast"/>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Ihre Methode sei ein einfaches und bei allen Tumortypen einsetzbares </w:t>
            </w:r>
            <w:r w:rsidRPr="00592531">
              <w:rPr>
                <w:rFonts w:ascii="Times New Roman" w:eastAsia="Times New Roman" w:hAnsi="Times New Roman" w:cs="Times New Roman"/>
                <w:color w:val="000000"/>
                <w:sz w:val="20"/>
                <w:szCs w:val="20"/>
                <w:lang w:val="de-DE" w:eastAsia="it-IT"/>
              </w:rPr>
              <w:lastRenderedPageBreak/>
              <w:t>Verfahren, das die Wirksamkeit von Immuntherapien erhöht.</w:t>
            </w:r>
          </w:p>
        </w:tc>
        <w:tc>
          <w:tcPr>
            <w:tcW w:w="2414" w:type="dxa"/>
          </w:tcPr>
          <w:p w14:paraId="3DCCCE05" w14:textId="77777777" w:rsidR="00592531" w:rsidRPr="00592531" w:rsidRDefault="00592531">
            <w:pPr>
              <w:rPr>
                <w:rFonts w:ascii="Times New Roman" w:hAnsi="Times New Roman" w:cs="Times New Roman"/>
                <w:sz w:val="20"/>
                <w:szCs w:val="20"/>
                <w:lang w:val="de-DE"/>
              </w:rPr>
            </w:pPr>
          </w:p>
        </w:tc>
        <w:tc>
          <w:tcPr>
            <w:tcW w:w="2420" w:type="dxa"/>
          </w:tcPr>
          <w:p w14:paraId="75087A5E" w14:textId="77777777" w:rsidR="00592531" w:rsidRPr="00592531" w:rsidRDefault="00592531">
            <w:pPr>
              <w:rPr>
                <w:rFonts w:ascii="Times New Roman" w:hAnsi="Times New Roman" w:cs="Times New Roman"/>
                <w:sz w:val="20"/>
                <w:szCs w:val="20"/>
                <w:lang w:val="de-DE"/>
              </w:rPr>
            </w:pPr>
          </w:p>
        </w:tc>
        <w:tc>
          <w:tcPr>
            <w:tcW w:w="2414" w:type="dxa"/>
          </w:tcPr>
          <w:p w14:paraId="614B5F35" w14:textId="77777777" w:rsidR="00592531" w:rsidRPr="00592531" w:rsidRDefault="00592531">
            <w:pPr>
              <w:rPr>
                <w:rFonts w:ascii="Times New Roman" w:hAnsi="Times New Roman" w:cs="Times New Roman"/>
                <w:sz w:val="20"/>
                <w:szCs w:val="20"/>
                <w:lang w:val="de-DE"/>
              </w:rPr>
            </w:pPr>
          </w:p>
        </w:tc>
      </w:tr>
      <w:tr w:rsidR="00592531" w:rsidRPr="00592531" w14:paraId="6E8472FC" w14:textId="77777777" w:rsidTr="62B7F768">
        <w:tc>
          <w:tcPr>
            <w:tcW w:w="2606" w:type="dxa"/>
          </w:tcPr>
          <w:p w14:paraId="75AE56BF"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lastRenderedPageBreak/>
              <w:t xml:space="preserve">„Wir hoffen, dass unsere Arbeit dazu anregt, verschiedene Tumortherapien zu entwickeln, die sich die Andockfunktion von Kollagen für Krebsmedikamente zunutze machen“, sagt Erstautor Noor Momin aus der Arbeitsgruppe von Dane </w:t>
            </w:r>
            <w:proofErr w:type="spellStart"/>
            <w:r w:rsidRPr="00592531">
              <w:rPr>
                <w:rFonts w:ascii="Times New Roman" w:eastAsia="Times New Roman" w:hAnsi="Times New Roman" w:cs="Times New Roman"/>
                <w:color w:val="000000"/>
                <w:sz w:val="20"/>
                <w:szCs w:val="20"/>
                <w:lang w:val="de-DE" w:eastAsia="it-IT"/>
              </w:rPr>
              <w:t>Wittrup</w:t>
            </w:r>
            <w:proofErr w:type="spellEnd"/>
            <w:r w:rsidRPr="00592531">
              <w:rPr>
                <w:rFonts w:ascii="Times New Roman" w:eastAsia="Times New Roman" w:hAnsi="Times New Roman" w:cs="Times New Roman"/>
                <w:color w:val="000000"/>
                <w:sz w:val="20"/>
                <w:szCs w:val="20"/>
                <w:lang w:val="de-DE" w:eastAsia="it-IT"/>
              </w:rPr>
              <w:t xml:space="preserve"> am Massachusetts Institute </w:t>
            </w:r>
            <w:proofErr w:type="spellStart"/>
            <w:r w:rsidRPr="00592531">
              <w:rPr>
                <w:rFonts w:ascii="Times New Roman" w:eastAsia="Times New Roman" w:hAnsi="Times New Roman" w:cs="Times New Roman"/>
                <w:color w:val="000000"/>
                <w:sz w:val="20"/>
                <w:szCs w:val="20"/>
                <w:lang w:val="de-DE" w:eastAsia="it-IT"/>
              </w:rPr>
              <w:t>of</w:t>
            </w:r>
            <w:proofErr w:type="spellEnd"/>
            <w:r w:rsidRPr="00592531">
              <w:rPr>
                <w:rFonts w:ascii="Times New Roman" w:eastAsia="Times New Roman" w:hAnsi="Times New Roman" w:cs="Times New Roman"/>
                <w:color w:val="000000"/>
                <w:sz w:val="20"/>
                <w:szCs w:val="20"/>
                <w:lang w:val="de-DE" w:eastAsia="it-IT"/>
              </w:rPr>
              <w:t xml:space="preserve"> Technology (MIT</w:t>
            </w:r>
            <w:proofErr w:type="gramStart"/>
            <w:r w:rsidRPr="00592531">
              <w:rPr>
                <w:rFonts w:ascii="Times New Roman" w:eastAsia="Times New Roman" w:hAnsi="Times New Roman" w:cs="Times New Roman"/>
                <w:color w:val="000000"/>
                <w:sz w:val="20"/>
                <w:szCs w:val="20"/>
                <w:lang w:val="de-DE" w:eastAsia="it-IT"/>
              </w:rPr>
              <w:t>) in</w:t>
            </w:r>
            <w:proofErr w:type="gramEnd"/>
            <w:r w:rsidRPr="00592531">
              <w:rPr>
                <w:rFonts w:ascii="Times New Roman" w:eastAsia="Times New Roman" w:hAnsi="Times New Roman" w:cs="Times New Roman"/>
                <w:color w:val="000000"/>
                <w:sz w:val="20"/>
                <w:szCs w:val="20"/>
                <w:lang w:val="de-DE" w:eastAsia="it-IT"/>
              </w:rPr>
              <w:t xml:space="preserve"> Cambridge.</w:t>
            </w:r>
          </w:p>
        </w:tc>
        <w:tc>
          <w:tcPr>
            <w:tcW w:w="2414" w:type="dxa"/>
          </w:tcPr>
          <w:p w14:paraId="3C42C683" w14:textId="77777777" w:rsidR="00592531" w:rsidRPr="00592531" w:rsidRDefault="00592531">
            <w:pPr>
              <w:rPr>
                <w:rFonts w:ascii="Times New Roman" w:hAnsi="Times New Roman" w:cs="Times New Roman"/>
                <w:sz w:val="20"/>
                <w:szCs w:val="20"/>
                <w:lang w:val="de-DE"/>
              </w:rPr>
            </w:pPr>
          </w:p>
        </w:tc>
        <w:tc>
          <w:tcPr>
            <w:tcW w:w="2420" w:type="dxa"/>
          </w:tcPr>
          <w:p w14:paraId="68C6636F" w14:textId="77777777" w:rsidR="00592531" w:rsidRPr="00592531" w:rsidRDefault="00592531">
            <w:pPr>
              <w:rPr>
                <w:rFonts w:ascii="Times New Roman" w:hAnsi="Times New Roman" w:cs="Times New Roman"/>
                <w:sz w:val="20"/>
                <w:szCs w:val="20"/>
                <w:lang w:val="de-DE"/>
              </w:rPr>
            </w:pPr>
          </w:p>
        </w:tc>
        <w:tc>
          <w:tcPr>
            <w:tcW w:w="2414" w:type="dxa"/>
          </w:tcPr>
          <w:p w14:paraId="1DE17CFB" w14:textId="77777777" w:rsidR="00592531" w:rsidRPr="00592531" w:rsidRDefault="00592531">
            <w:pPr>
              <w:rPr>
                <w:rFonts w:ascii="Times New Roman" w:hAnsi="Times New Roman" w:cs="Times New Roman"/>
                <w:sz w:val="20"/>
                <w:szCs w:val="20"/>
                <w:lang w:val="de-DE"/>
              </w:rPr>
            </w:pPr>
          </w:p>
        </w:tc>
      </w:tr>
      <w:tr w:rsidR="00592531" w:rsidRPr="00592531" w14:paraId="0CD9BB96" w14:textId="77777777" w:rsidTr="62B7F768">
        <w:tc>
          <w:tcPr>
            <w:tcW w:w="2606" w:type="dxa"/>
          </w:tcPr>
          <w:p w14:paraId="6A3C2A86" w14:textId="77777777" w:rsidR="00592531" w:rsidRPr="00592531" w:rsidRDefault="00592531" w:rsidP="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Die Forscher versuchten, die Einsatzmöglichkeit der immunstimulierenden </w:t>
            </w:r>
            <w:proofErr w:type="spellStart"/>
            <w:r w:rsidRPr="00592531">
              <w:rPr>
                <w:rFonts w:ascii="Times New Roman" w:eastAsia="Times New Roman" w:hAnsi="Times New Roman" w:cs="Times New Roman"/>
                <w:color w:val="000000"/>
                <w:sz w:val="20"/>
                <w:szCs w:val="20"/>
                <w:lang w:val="de-DE" w:eastAsia="it-IT"/>
              </w:rPr>
              <w:t>Zytokine</w:t>
            </w:r>
            <w:proofErr w:type="spellEnd"/>
            <w:r w:rsidRPr="00592531">
              <w:rPr>
                <w:rFonts w:ascii="Times New Roman" w:eastAsia="Times New Roman" w:hAnsi="Times New Roman" w:cs="Times New Roman"/>
                <w:color w:val="000000"/>
                <w:sz w:val="20"/>
                <w:szCs w:val="20"/>
                <w:lang w:val="de-DE" w:eastAsia="it-IT"/>
              </w:rPr>
              <w:t xml:space="preserve"> IL-2 und IL-12 für die Krebstherapie zu verbessern. Beide Botenstoffe waren zwar schon erfolgreich in klinischen Studien getestet worden (IL-2 ist in den USA bereits für die Behandlung zugelassen), doch die starken Nebenwirkungen verhinderten die klinische Verwendung.</w:t>
            </w:r>
          </w:p>
        </w:tc>
        <w:tc>
          <w:tcPr>
            <w:tcW w:w="2414" w:type="dxa"/>
          </w:tcPr>
          <w:p w14:paraId="213855FC" w14:textId="77777777" w:rsidR="00592531" w:rsidRPr="00592531" w:rsidRDefault="00592531">
            <w:pPr>
              <w:rPr>
                <w:rFonts w:ascii="Times New Roman" w:hAnsi="Times New Roman" w:cs="Times New Roman"/>
                <w:sz w:val="20"/>
                <w:szCs w:val="20"/>
                <w:lang w:val="de-DE"/>
              </w:rPr>
            </w:pPr>
          </w:p>
        </w:tc>
        <w:tc>
          <w:tcPr>
            <w:tcW w:w="2420" w:type="dxa"/>
          </w:tcPr>
          <w:p w14:paraId="09476F54" w14:textId="77777777" w:rsidR="00592531" w:rsidRPr="00592531" w:rsidRDefault="00592531">
            <w:pPr>
              <w:rPr>
                <w:rFonts w:ascii="Times New Roman" w:hAnsi="Times New Roman" w:cs="Times New Roman"/>
                <w:sz w:val="20"/>
                <w:szCs w:val="20"/>
                <w:lang w:val="de-DE"/>
              </w:rPr>
            </w:pPr>
          </w:p>
        </w:tc>
        <w:tc>
          <w:tcPr>
            <w:tcW w:w="2414" w:type="dxa"/>
          </w:tcPr>
          <w:p w14:paraId="1486A7A2" w14:textId="77777777" w:rsidR="00592531" w:rsidRPr="00592531" w:rsidRDefault="00592531">
            <w:pPr>
              <w:rPr>
                <w:rFonts w:ascii="Times New Roman" w:hAnsi="Times New Roman" w:cs="Times New Roman"/>
                <w:sz w:val="20"/>
                <w:szCs w:val="20"/>
                <w:lang w:val="de-DE"/>
              </w:rPr>
            </w:pPr>
          </w:p>
        </w:tc>
      </w:tr>
      <w:tr w:rsidR="00592531" w:rsidRPr="00592531" w14:paraId="631F5B52" w14:textId="77777777" w:rsidTr="62B7F768">
        <w:tc>
          <w:tcPr>
            <w:tcW w:w="2606" w:type="dxa"/>
          </w:tcPr>
          <w:p w14:paraId="17FE12C8" w14:textId="77777777" w:rsidR="00592531" w:rsidRPr="00592531" w:rsidRDefault="00592531" w:rsidP="00D816D1">
            <w:pPr>
              <w:spacing w:line="0" w:lineRule="atLeast"/>
              <w:rPr>
                <w:rFonts w:ascii="Times New Roman" w:eastAsia="Times New Roman" w:hAnsi="Times New Roman" w:cs="Times New Roman"/>
                <w:color w:val="000000"/>
                <w:sz w:val="20"/>
                <w:szCs w:val="20"/>
                <w:lang w:val="de-DE" w:eastAsia="it-IT"/>
              </w:rPr>
            </w:pPr>
            <w:r w:rsidRPr="00592531">
              <w:rPr>
                <w:rFonts w:ascii="Times New Roman" w:eastAsia="Times New Roman" w:hAnsi="Times New Roman" w:cs="Times New Roman"/>
                <w:color w:val="000000"/>
                <w:sz w:val="20"/>
                <w:szCs w:val="20"/>
                <w:lang w:val="de-DE" w:eastAsia="it-IT"/>
              </w:rPr>
              <w:t xml:space="preserve">Das Ziel bestand nun darin, die Wirksamkeit der </w:t>
            </w:r>
            <w:proofErr w:type="spellStart"/>
            <w:r w:rsidRPr="00592531">
              <w:rPr>
                <w:rFonts w:ascii="Times New Roman" w:eastAsia="Times New Roman" w:hAnsi="Times New Roman" w:cs="Times New Roman"/>
                <w:color w:val="000000"/>
                <w:sz w:val="20"/>
                <w:szCs w:val="20"/>
                <w:lang w:val="de-DE" w:eastAsia="it-IT"/>
              </w:rPr>
              <w:t>Interleukine</w:t>
            </w:r>
            <w:proofErr w:type="spellEnd"/>
            <w:r w:rsidRPr="00592531">
              <w:rPr>
                <w:rFonts w:ascii="Times New Roman" w:eastAsia="Times New Roman" w:hAnsi="Times New Roman" w:cs="Times New Roman"/>
                <w:color w:val="000000"/>
                <w:sz w:val="20"/>
                <w:szCs w:val="20"/>
                <w:lang w:val="de-DE" w:eastAsia="it-IT"/>
              </w:rPr>
              <w:t xml:space="preserve"> zu steigern und gleichzeitig die Schädigung gesunder Gewebe zu verringern. </w:t>
            </w:r>
          </w:p>
          <w:p w14:paraId="0923395C"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Für ihr Vorhaben nutzten die Forscher das im Bindegewebe enthaltene stabile Protein </w:t>
            </w:r>
            <w:proofErr w:type="spellStart"/>
            <w:r w:rsidRPr="00592531">
              <w:rPr>
                <w:rFonts w:ascii="Times New Roman" w:eastAsia="Times New Roman" w:hAnsi="Times New Roman" w:cs="Times New Roman"/>
                <w:color w:val="000000"/>
                <w:sz w:val="20"/>
                <w:szCs w:val="20"/>
                <w:lang w:val="de-DE" w:eastAsia="it-IT"/>
              </w:rPr>
              <w:t>Lumican</w:t>
            </w:r>
            <w:proofErr w:type="spellEnd"/>
            <w:proofErr w:type="gramStart"/>
            <w:r w:rsidRPr="00592531">
              <w:rPr>
                <w:rFonts w:ascii="Times New Roman" w:eastAsia="Times New Roman" w:hAnsi="Times New Roman" w:cs="Times New Roman"/>
                <w:color w:val="000000"/>
                <w:sz w:val="20"/>
                <w:szCs w:val="20"/>
                <w:lang w:val="de-DE" w:eastAsia="it-IT"/>
              </w:rPr>
              <w:t>, das</w:t>
            </w:r>
            <w:proofErr w:type="gramEnd"/>
            <w:r w:rsidRPr="00592531">
              <w:rPr>
                <w:rFonts w:ascii="Times New Roman" w:eastAsia="Times New Roman" w:hAnsi="Times New Roman" w:cs="Times New Roman"/>
                <w:color w:val="000000"/>
                <w:sz w:val="20"/>
                <w:szCs w:val="20"/>
                <w:lang w:val="de-DE" w:eastAsia="it-IT"/>
              </w:rPr>
              <w:t xml:space="preserve"> die Eigenschaft hat, sich an die Molekülketten zweier Typen von Kollagenen anzulagern.</w:t>
            </w:r>
          </w:p>
        </w:tc>
        <w:tc>
          <w:tcPr>
            <w:tcW w:w="2414" w:type="dxa"/>
          </w:tcPr>
          <w:p w14:paraId="275C2277" w14:textId="77777777" w:rsidR="00592531" w:rsidRPr="00592531" w:rsidRDefault="00592531">
            <w:pPr>
              <w:rPr>
                <w:rFonts w:ascii="Times New Roman" w:hAnsi="Times New Roman" w:cs="Times New Roman"/>
                <w:sz w:val="20"/>
                <w:szCs w:val="20"/>
                <w:lang w:val="de-DE"/>
              </w:rPr>
            </w:pPr>
          </w:p>
        </w:tc>
        <w:tc>
          <w:tcPr>
            <w:tcW w:w="2420" w:type="dxa"/>
          </w:tcPr>
          <w:p w14:paraId="14A2F0DF" w14:textId="77777777" w:rsidR="00592531" w:rsidRPr="00592531" w:rsidRDefault="00592531">
            <w:pPr>
              <w:rPr>
                <w:rFonts w:ascii="Times New Roman" w:hAnsi="Times New Roman" w:cs="Times New Roman"/>
                <w:sz w:val="20"/>
                <w:szCs w:val="20"/>
                <w:lang w:val="de-DE"/>
              </w:rPr>
            </w:pPr>
          </w:p>
        </w:tc>
        <w:tc>
          <w:tcPr>
            <w:tcW w:w="2414" w:type="dxa"/>
          </w:tcPr>
          <w:p w14:paraId="49FF52FC" w14:textId="77777777" w:rsidR="00592531" w:rsidRPr="00592531" w:rsidRDefault="00592531">
            <w:pPr>
              <w:rPr>
                <w:rFonts w:ascii="Times New Roman" w:hAnsi="Times New Roman" w:cs="Times New Roman"/>
                <w:sz w:val="20"/>
                <w:szCs w:val="20"/>
                <w:lang w:val="de-DE"/>
              </w:rPr>
            </w:pPr>
          </w:p>
        </w:tc>
      </w:tr>
      <w:tr w:rsidR="00592531" w:rsidRPr="00592531" w14:paraId="11554BB9" w14:textId="77777777" w:rsidTr="62B7F768">
        <w:tc>
          <w:tcPr>
            <w:tcW w:w="2606" w:type="dxa"/>
          </w:tcPr>
          <w:p w14:paraId="44FF4775"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Der Kollagengehalt unterschiedlicher Tumore schwankt nach Angaben der Autoren zwischen unter 3 und etwa 20 Prozent. Die Wissenschaftler koppelten jeweils eines der beiden </w:t>
            </w:r>
            <w:proofErr w:type="spellStart"/>
            <w:r w:rsidRPr="00592531">
              <w:rPr>
                <w:rFonts w:ascii="Times New Roman" w:eastAsia="Times New Roman" w:hAnsi="Times New Roman" w:cs="Times New Roman"/>
                <w:color w:val="000000"/>
                <w:sz w:val="20"/>
                <w:szCs w:val="20"/>
                <w:lang w:val="de-DE" w:eastAsia="it-IT"/>
              </w:rPr>
              <w:t>Interleukine</w:t>
            </w:r>
            <w:proofErr w:type="spellEnd"/>
            <w:r w:rsidRPr="00592531">
              <w:rPr>
                <w:rFonts w:ascii="Times New Roman" w:eastAsia="Times New Roman" w:hAnsi="Times New Roman" w:cs="Times New Roman"/>
                <w:color w:val="000000"/>
                <w:sz w:val="20"/>
                <w:szCs w:val="20"/>
                <w:lang w:val="de-DE" w:eastAsia="it-IT"/>
              </w:rPr>
              <w:t xml:space="preserve"> über ein Brückenprotein an </w:t>
            </w:r>
            <w:proofErr w:type="spellStart"/>
            <w:r w:rsidRPr="00592531">
              <w:rPr>
                <w:rFonts w:ascii="Times New Roman" w:eastAsia="Times New Roman" w:hAnsi="Times New Roman" w:cs="Times New Roman"/>
                <w:color w:val="000000"/>
                <w:sz w:val="20"/>
                <w:szCs w:val="20"/>
                <w:lang w:val="de-DE" w:eastAsia="it-IT"/>
              </w:rPr>
              <w:t>Lumican</w:t>
            </w:r>
            <w:proofErr w:type="spellEnd"/>
            <w:r w:rsidRPr="00592531">
              <w:rPr>
                <w:rFonts w:ascii="Times New Roman" w:eastAsia="Times New Roman" w:hAnsi="Times New Roman" w:cs="Times New Roman"/>
                <w:color w:val="000000"/>
                <w:sz w:val="20"/>
                <w:szCs w:val="20"/>
                <w:lang w:val="de-DE" w:eastAsia="it-IT"/>
              </w:rPr>
              <w:t xml:space="preserve"> und injizierten dieses Konstrukt in Melanome, das sind Hautkrebstumore, von Mäusen.</w:t>
            </w:r>
          </w:p>
        </w:tc>
        <w:tc>
          <w:tcPr>
            <w:tcW w:w="2414" w:type="dxa"/>
          </w:tcPr>
          <w:p w14:paraId="10653836" w14:textId="77777777" w:rsidR="00592531" w:rsidRPr="00592531" w:rsidRDefault="00592531">
            <w:pPr>
              <w:rPr>
                <w:rFonts w:ascii="Times New Roman" w:hAnsi="Times New Roman" w:cs="Times New Roman"/>
                <w:sz w:val="20"/>
                <w:szCs w:val="20"/>
                <w:lang w:val="de-DE"/>
              </w:rPr>
            </w:pPr>
          </w:p>
        </w:tc>
        <w:tc>
          <w:tcPr>
            <w:tcW w:w="2420" w:type="dxa"/>
          </w:tcPr>
          <w:p w14:paraId="162A27E4" w14:textId="77777777" w:rsidR="00592531" w:rsidRPr="00592531" w:rsidRDefault="00592531">
            <w:pPr>
              <w:rPr>
                <w:rFonts w:ascii="Times New Roman" w:hAnsi="Times New Roman" w:cs="Times New Roman"/>
                <w:sz w:val="20"/>
                <w:szCs w:val="20"/>
                <w:lang w:val="de-DE"/>
              </w:rPr>
            </w:pPr>
          </w:p>
        </w:tc>
        <w:tc>
          <w:tcPr>
            <w:tcW w:w="2414" w:type="dxa"/>
          </w:tcPr>
          <w:p w14:paraId="6A49191D" w14:textId="77777777" w:rsidR="00592531" w:rsidRPr="00592531" w:rsidRDefault="00592531">
            <w:pPr>
              <w:rPr>
                <w:rFonts w:ascii="Times New Roman" w:hAnsi="Times New Roman" w:cs="Times New Roman"/>
                <w:sz w:val="20"/>
                <w:szCs w:val="20"/>
                <w:lang w:val="de-DE"/>
              </w:rPr>
            </w:pPr>
          </w:p>
        </w:tc>
      </w:tr>
      <w:tr w:rsidR="00592531" w:rsidRPr="00592531" w14:paraId="5424B174" w14:textId="77777777" w:rsidTr="62B7F768">
        <w:tc>
          <w:tcPr>
            <w:tcW w:w="2606" w:type="dxa"/>
          </w:tcPr>
          <w:p w14:paraId="1046B80D" w14:textId="77777777" w:rsidR="00592531" w:rsidRPr="00592531" w:rsidRDefault="00592531">
            <w:pPr>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t xml:space="preserve">Zusätzlich wurden die Tiere mit einer Immuntherapie gegen Krebs behandelt. Diese </w:t>
            </w:r>
            <w:r w:rsidRPr="00592531">
              <w:rPr>
                <w:rFonts w:ascii="Times New Roman" w:eastAsia="Times New Roman" w:hAnsi="Times New Roman" w:cs="Times New Roman"/>
                <w:color w:val="000000"/>
                <w:sz w:val="20"/>
                <w:szCs w:val="20"/>
                <w:lang w:val="de-DE" w:eastAsia="it-IT"/>
              </w:rPr>
              <w:lastRenderedPageBreak/>
              <w:t>bestand entweder im Einsatz von Antikörpern gegen Tumorzellen</w:t>
            </w:r>
            <w:proofErr w:type="gramStart"/>
            <w:r w:rsidRPr="00592531">
              <w:rPr>
                <w:rFonts w:ascii="Times New Roman" w:eastAsia="Times New Roman" w:hAnsi="Times New Roman" w:cs="Times New Roman"/>
                <w:color w:val="000000"/>
                <w:sz w:val="20"/>
                <w:szCs w:val="20"/>
                <w:lang w:val="de-DE" w:eastAsia="it-IT"/>
              </w:rPr>
              <w:t>, in</w:t>
            </w:r>
            <w:proofErr w:type="gramEnd"/>
            <w:r w:rsidRPr="00592531">
              <w:rPr>
                <w:rFonts w:ascii="Times New Roman" w:eastAsia="Times New Roman" w:hAnsi="Times New Roman" w:cs="Times New Roman"/>
                <w:color w:val="000000"/>
                <w:sz w:val="20"/>
                <w:szCs w:val="20"/>
                <w:lang w:val="de-DE" w:eastAsia="it-IT"/>
              </w:rPr>
              <w:t xml:space="preserve"> einer Krebsimpfung oder in der Verabreichung sogenannter Immuncheckpoint-Inhibitoren.</w:t>
            </w:r>
          </w:p>
        </w:tc>
        <w:tc>
          <w:tcPr>
            <w:tcW w:w="2414" w:type="dxa"/>
          </w:tcPr>
          <w:p w14:paraId="040F74E9" w14:textId="77777777" w:rsidR="00592531" w:rsidRPr="00592531" w:rsidRDefault="00592531">
            <w:pPr>
              <w:rPr>
                <w:rFonts w:ascii="Times New Roman" w:hAnsi="Times New Roman" w:cs="Times New Roman"/>
                <w:sz w:val="20"/>
                <w:szCs w:val="20"/>
                <w:lang w:val="de-DE"/>
              </w:rPr>
            </w:pPr>
          </w:p>
        </w:tc>
        <w:tc>
          <w:tcPr>
            <w:tcW w:w="2420" w:type="dxa"/>
          </w:tcPr>
          <w:p w14:paraId="6004CC3C" w14:textId="77777777" w:rsidR="00592531" w:rsidRPr="00592531" w:rsidRDefault="00592531">
            <w:pPr>
              <w:rPr>
                <w:rFonts w:ascii="Times New Roman" w:hAnsi="Times New Roman" w:cs="Times New Roman"/>
                <w:sz w:val="20"/>
                <w:szCs w:val="20"/>
                <w:lang w:val="de-DE"/>
              </w:rPr>
            </w:pPr>
          </w:p>
        </w:tc>
        <w:tc>
          <w:tcPr>
            <w:tcW w:w="2414" w:type="dxa"/>
          </w:tcPr>
          <w:p w14:paraId="331BFF7A" w14:textId="77777777" w:rsidR="00592531" w:rsidRPr="00592531" w:rsidRDefault="00592531">
            <w:pPr>
              <w:rPr>
                <w:rFonts w:ascii="Times New Roman" w:hAnsi="Times New Roman" w:cs="Times New Roman"/>
                <w:sz w:val="20"/>
                <w:szCs w:val="20"/>
                <w:lang w:val="de-DE"/>
              </w:rPr>
            </w:pPr>
          </w:p>
        </w:tc>
      </w:tr>
      <w:tr w:rsidR="00592531" w:rsidRPr="00592531" w14:paraId="4DFFDB91" w14:textId="77777777" w:rsidTr="62B7F768">
        <w:tc>
          <w:tcPr>
            <w:tcW w:w="2606" w:type="dxa"/>
          </w:tcPr>
          <w:p w14:paraId="1EB88995" w14:textId="77777777" w:rsidR="00592531" w:rsidRPr="00592531" w:rsidRDefault="00592531" w:rsidP="00D816D1">
            <w:pPr>
              <w:spacing w:line="0" w:lineRule="atLeast"/>
              <w:rPr>
                <w:rFonts w:ascii="Times New Roman" w:hAnsi="Times New Roman" w:cs="Times New Roman"/>
                <w:sz w:val="20"/>
                <w:szCs w:val="20"/>
                <w:lang w:val="de-DE"/>
              </w:rPr>
            </w:pPr>
            <w:r w:rsidRPr="00592531">
              <w:rPr>
                <w:rFonts w:ascii="Times New Roman" w:eastAsia="Times New Roman" w:hAnsi="Times New Roman" w:cs="Times New Roman"/>
                <w:color w:val="000000"/>
                <w:sz w:val="20"/>
                <w:szCs w:val="20"/>
                <w:lang w:val="de-DE" w:eastAsia="it-IT"/>
              </w:rPr>
              <w:lastRenderedPageBreak/>
              <w:t xml:space="preserve">Sämtliche Mäuse, die keine Zusatzbehandlung mit den </w:t>
            </w:r>
            <w:proofErr w:type="spellStart"/>
            <w:r w:rsidRPr="00592531">
              <w:rPr>
                <w:rFonts w:ascii="Times New Roman" w:eastAsia="Times New Roman" w:hAnsi="Times New Roman" w:cs="Times New Roman"/>
                <w:color w:val="000000"/>
                <w:sz w:val="20"/>
                <w:szCs w:val="20"/>
                <w:lang w:val="de-DE" w:eastAsia="it-IT"/>
              </w:rPr>
              <w:t>Zytokin</w:t>
            </w:r>
            <w:proofErr w:type="spellEnd"/>
            <w:r w:rsidRPr="00592531">
              <w:rPr>
                <w:rFonts w:ascii="Times New Roman" w:eastAsia="Times New Roman" w:hAnsi="Times New Roman" w:cs="Times New Roman"/>
                <w:color w:val="000000"/>
                <w:sz w:val="20"/>
                <w:szCs w:val="20"/>
                <w:lang w:val="de-DE" w:eastAsia="it-IT"/>
              </w:rPr>
              <w:t xml:space="preserve">-Präparaten erhielten, starben. Mit der Kombinationstherapie überlebten bis zu 90 Prozent. </w:t>
            </w:r>
          </w:p>
        </w:tc>
        <w:tc>
          <w:tcPr>
            <w:tcW w:w="2414" w:type="dxa"/>
          </w:tcPr>
          <w:p w14:paraId="2882D5D3" w14:textId="77777777" w:rsidR="00592531" w:rsidRPr="00592531" w:rsidRDefault="00592531">
            <w:pPr>
              <w:rPr>
                <w:rFonts w:ascii="Times New Roman" w:hAnsi="Times New Roman" w:cs="Times New Roman"/>
                <w:sz w:val="20"/>
                <w:szCs w:val="20"/>
                <w:lang w:val="de-DE"/>
              </w:rPr>
            </w:pPr>
          </w:p>
        </w:tc>
        <w:tc>
          <w:tcPr>
            <w:tcW w:w="2420" w:type="dxa"/>
          </w:tcPr>
          <w:p w14:paraId="3E51B813" w14:textId="77777777" w:rsidR="00592531" w:rsidRPr="00592531" w:rsidRDefault="00592531">
            <w:pPr>
              <w:rPr>
                <w:rFonts w:ascii="Times New Roman" w:hAnsi="Times New Roman" w:cs="Times New Roman"/>
                <w:sz w:val="20"/>
                <w:szCs w:val="20"/>
                <w:lang w:val="de-DE"/>
              </w:rPr>
            </w:pPr>
          </w:p>
        </w:tc>
        <w:tc>
          <w:tcPr>
            <w:tcW w:w="2414" w:type="dxa"/>
          </w:tcPr>
          <w:p w14:paraId="600F821F" w14:textId="77777777" w:rsidR="00592531" w:rsidRPr="00592531" w:rsidRDefault="00592531">
            <w:pPr>
              <w:rPr>
                <w:rFonts w:ascii="Times New Roman" w:hAnsi="Times New Roman" w:cs="Times New Roman"/>
                <w:sz w:val="20"/>
                <w:szCs w:val="20"/>
                <w:lang w:val="de-DE"/>
              </w:rPr>
            </w:pPr>
          </w:p>
        </w:tc>
      </w:tr>
    </w:tbl>
    <w:p w14:paraId="6B9730A0" w14:textId="77777777" w:rsidR="00DC299A" w:rsidRPr="00592531" w:rsidRDefault="00DC299A">
      <w:pPr>
        <w:rPr>
          <w:rFonts w:ascii="Times New Roman" w:hAnsi="Times New Roman" w:cs="Times New Roman"/>
          <w:sz w:val="20"/>
          <w:szCs w:val="20"/>
          <w:lang w:val="de-DE"/>
        </w:rPr>
      </w:pPr>
    </w:p>
    <w:sectPr w:rsidR="00DC299A" w:rsidRPr="0059253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1A"/>
    <w:rsid w:val="00592531"/>
    <w:rsid w:val="00A2677C"/>
    <w:rsid w:val="00B85E1A"/>
    <w:rsid w:val="00C46B5E"/>
    <w:rsid w:val="00D816D1"/>
    <w:rsid w:val="00DC299A"/>
    <w:rsid w:val="62B7F7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BC0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92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592531"/>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59253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92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592531"/>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5925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2649</Characters>
  <Application>Microsoft Macintosh Word</Application>
  <DocSecurity>0</DocSecurity>
  <Lines>172</Lines>
  <Paragraphs>18</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3036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CNA AITI</dc:creator>
  <cp:keywords/>
  <dc:description/>
  <cp:lastModifiedBy>Valeria Andreoni</cp:lastModifiedBy>
  <cp:revision>6</cp:revision>
  <dcterms:created xsi:type="dcterms:W3CDTF">2019-08-05T19:37:00Z</dcterms:created>
  <dcterms:modified xsi:type="dcterms:W3CDTF">2019-09-20T16:25:00Z</dcterms:modified>
  <cp:category/>
</cp:coreProperties>
</file>