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13"/>
        <w:gridCol w:w="2263"/>
        <w:gridCol w:w="2292"/>
        <w:gridCol w:w="2260"/>
      </w:tblGrid>
      <w:tr w:rsidR="00AC4EF0" w:rsidRPr="00AC4EF0" w:rsidTr="00AC4EF0">
        <w:tc>
          <w:tcPr>
            <w:tcW w:w="2813" w:type="dxa"/>
          </w:tcPr>
          <w:p w:rsidR="00AC4EF0" w:rsidRPr="00AC4EF0" w:rsidRDefault="00AC4EF0" w:rsidP="009357DD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C4EF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Testo di partenza</w:t>
            </w:r>
          </w:p>
          <w:p w:rsidR="00AC4EF0" w:rsidRPr="00AC4EF0" w:rsidRDefault="00AC4EF0" w:rsidP="009357DD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C4EF0"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  <w:t>*NON tradurre il testo evidenziato in giallo</w:t>
            </w:r>
          </w:p>
        </w:tc>
        <w:tc>
          <w:tcPr>
            <w:tcW w:w="2263" w:type="dxa"/>
          </w:tcPr>
          <w:p w:rsidR="00AC4EF0" w:rsidRPr="00AC4EF0" w:rsidRDefault="00AC4EF0" w:rsidP="009357DD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C4EF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Testo tradotto dal candidato</w:t>
            </w:r>
          </w:p>
        </w:tc>
        <w:tc>
          <w:tcPr>
            <w:tcW w:w="2292" w:type="dxa"/>
          </w:tcPr>
          <w:p w:rsidR="00AC4EF0" w:rsidRPr="00AC4EF0" w:rsidRDefault="00AC4EF0" w:rsidP="009357DD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C4EF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Spazio a disposizione del correttore</w:t>
            </w:r>
          </w:p>
        </w:tc>
        <w:tc>
          <w:tcPr>
            <w:tcW w:w="2260" w:type="dxa"/>
          </w:tcPr>
          <w:p w:rsidR="00AC4EF0" w:rsidRPr="00AC4EF0" w:rsidRDefault="00AC4EF0" w:rsidP="009357DD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C4EF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Penalità</w:t>
            </w:r>
          </w:p>
        </w:tc>
      </w:tr>
      <w:tr w:rsidR="00AC4EF0" w:rsidRPr="00AC4EF0" w:rsidTr="00AC4EF0">
        <w:tc>
          <w:tcPr>
            <w:tcW w:w="2813" w:type="dxa"/>
          </w:tcPr>
          <w:p w:rsidR="00AC4EF0" w:rsidRPr="00AC4EF0" w:rsidRDefault="00AC4EF0" w:rsidP="009357DD">
            <w:pPr>
              <w:pStyle w:val="NormaleWeb"/>
              <w:shd w:val="clear" w:color="auto" w:fill="FFFFFF"/>
              <w:spacing w:before="0" w:beforeAutospacing="0" w:after="150" w:afterAutospacing="0"/>
              <w:rPr>
                <w:color w:val="474747"/>
                <w:sz w:val="20"/>
                <w:szCs w:val="20"/>
              </w:rPr>
            </w:pPr>
            <w:r w:rsidRPr="00AC4EF0">
              <w:rPr>
                <w:rStyle w:val="Enfasigrassetto"/>
                <w:color w:val="000000"/>
                <w:sz w:val="20"/>
                <w:szCs w:val="20"/>
              </w:rPr>
              <w:t>TRIBUNALE ORDINARIO DI VERONA</w:t>
            </w:r>
          </w:p>
          <w:p w:rsidR="00AC4EF0" w:rsidRPr="00AC4EF0" w:rsidRDefault="00AC4EF0" w:rsidP="009357DD">
            <w:pPr>
              <w:pStyle w:val="NormaleWeb"/>
              <w:shd w:val="clear" w:color="auto" w:fill="FFFFFF"/>
              <w:spacing w:before="0" w:beforeAutospacing="0" w:after="150" w:afterAutospacing="0"/>
              <w:rPr>
                <w:color w:val="474747"/>
                <w:sz w:val="20"/>
                <w:szCs w:val="20"/>
              </w:rPr>
            </w:pPr>
            <w:r w:rsidRPr="00AC4EF0">
              <w:rPr>
                <w:rStyle w:val="Enfasigrassetto"/>
                <w:color w:val="000000"/>
                <w:sz w:val="20"/>
                <w:szCs w:val="20"/>
              </w:rPr>
              <w:t>DECRETO INGIUNTIVO TELEMATICO PROVVISORIAMENTE ESECUTIVO</w:t>
            </w:r>
          </w:p>
        </w:tc>
        <w:tc>
          <w:tcPr>
            <w:tcW w:w="2263" w:type="dxa"/>
          </w:tcPr>
          <w:p w:rsidR="00AC4EF0" w:rsidRPr="009357DD" w:rsidRDefault="00AC4EF0" w:rsidP="009357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2" w:type="dxa"/>
          </w:tcPr>
          <w:p w:rsidR="00AC4EF0" w:rsidRPr="009357DD" w:rsidRDefault="00AC4EF0" w:rsidP="009357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</w:tcPr>
          <w:p w:rsidR="00AC4EF0" w:rsidRPr="009357DD" w:rsidRDefault="00AC4EF0" w:rsidP="009357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EF0" w:rsidRPr="00AC4EF0" w:rsidTr="00AC4EF0">
        <w:tc>
          <w:tcPr>
            <w:tcW w:w="2813" w:type="dxa"/>
          </w:tcPr>
          <w:p w:rsidR="00AC4EF0" w:rsidRPr="00AC4EF0" w:rsidRDefault="00AC4EF0" w:rsidP="009357DD">
            <w:pPr>
              <w:pStyle w:val="NormaleWeb"/>
              <w:shd w:val="clear" w:color="auto" w:fill="FFFFFF"/>
              <w:spacing w:before="0" w:beforeAutospacing="0" w:after="150" w:afterAutospacing="0"/>
              <w:rPr>
                <w:color w:val="474747"/>
                <w:sz w:val="20"/>
                <w:szCs w:val="20"/>
              </w:rPr>
            </w:pPr>
            <w:r w:rsidRPr="008E2962">
              <w:rPr>
                <w:color w:val="000000"/>
                <w:sz w:val="20"/>
                <w:szCs w:val="20"/>
              </w:rPr>
              <w:t xml:space="preserve">OGGETTO: PROCEDIMENTI SOMMARI – D’ingiunzione – Condizioni di ammissibilità – Prova scritta del diritto fatto valere dal creditore – Fatture elettroniche – Titolo idoneo ai fini dell’emissione del decreto – Configurabilità – Ragioni – Produzione dell’estratto autentico delle scritture contabili ex art. 634 </w:t>
            </w:r>
            <w:proofErr w:type="spellStart"/>
            <w:r w:rsidRPr="008E2962">
              <w:rPr>
                <w:color w:val="000000"/>
                <w:sz w:val="20"/>
                <w:szCs w:val="20"/>
              </w:rPr>
              <w:t>c.p.c.</w:t>
            </w:r>
            <w:proofErr w:type="spellEnd"/>
            <w:r w:rsidRPr="008E2962">
              <w:rPr>
                <w:color w:val="000000"/>
                <w:sz w:val="20"/>
                <w:szCs w:val="20"/>
              </w:rPr>
              <w:t xml:space="preserve"> – Necessità – Esclusione – Artt. 633 e 634 </w:t>
            </w:r>
            <w:proofErr w:type="gramStart"/>
            <w:r w:rsidRPr="008E2962">
              <w:rPr>
                <w:color w:val="000000"/>
                <w:sz w:val="20"/>
                <w:szCs w:val="20"/>
              </w:rPr>
              <w:t>cod.</w:t>
            </w:r>
            <w:proofErr w:type="gramEnd"/>
            <w:r w:rsidRPr="008E29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E2962">
              <w:rPr>
                <w:color w:val="000000"/>
                <w:sz w:val="20"/>
                <w:szCs w:val="20"/>
              </w:rPr>
              <w:t>proc</w:t>
            </w:r>
            <w:proofErr w:type="spellEnd"/>
            <w:r w:rsidRPr="008E2962">
              <w:rPr>
                <w:color w:val="000000"/>
                <w:sz w:val="20"/>
                <w:szCs w:val="20"/>
              </w:rPr>
              <w:t>. civ – Articolo 1, comma 1, lettera </w:t>
            </w:r>
            <w:r w:rsidRPr="008E2962">
              <w:rPr>
                <w:rStyle w:val="Enfasicorsivo"/>
                <w:color w:val="000000"/>
                <w:sz w:val="20"/>
                <w:szCs w:val="20"/>
              </w:rPr>
              <w:t>i),</w:t>
            </w:r>
            <w:r w:rsidRPr="008E2962">
              <w:rPr>
                <w:color w:val="000000"/>
                <w:sz w:val="20"/>
                <w:szCs w:val="20"/>
              </w:rPr>
              <w:t> </w:t>
            </w:r>
            <w:r w:rsidRPr="008E2962">
              <w:rPr>
                <w:rStyle w:val="Enfasicorsivo"/>
                <w:color w:val="000000"/>
                <w:sz w:val="20"/>
                <w:szCs w:val="20"/>
              </w:rPr>
              <w:t>quinquies</w:t>
            </w:r>
            <w:r w:rsidRPr="008E2962">
              <w:rPr>
                <w:color w:val="000000"/>
                <w:sz w:val="20"/>
                <w:szCs w:val="20"/>
              </w:rPr>
              <w:t xml:space="preserve">, del </w:t>
            </w:r>
            <w:proofErr w:type="spellStart"/>
            <w:r w:rsidRPr="008E2962">
              <w:rPr>
                <w:color w:val="000000"/>
                <w:sz w:val="20"/>
                <w:szCs w:val="20"/>
              </w:rPr>
              <w:t>D.Lgs.</w:t>
            </w:r>
            <w:proofErr w:type="spellEnd"/>
            <w:r w:rsidRPr="008E2962">
              <w:rPr>
                <w:color w:val="000000"/>
                <w:sz w:val="20"/>
                <w:szCs w:val="20"/>
              </w:rPr>
              <w:t xml:space="preserve"> 7 marzo 2005, n. 82 (CAD)</w:t>
            </w:r>
          </w:p>
        </w:tc>
        <w:tc>
          <w:tcPr>
            <w:tcW w:w="2263" w:type="dxa"/>
          </w:tcPr>
          <w:p w:rsidR="00AC4EF0" w:rsidRPr="00AC4EF0" w:rsidRDefault="00AC4EF0" w:rsidP="009357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2" w:type="dxa"/>
          </w:tcPr>
          <w:p w:rsidR="00AC4EF0" w:rsidRPr="00AC4EF0" w:rsidRDefault="00AC4EF0" w:rsidP="009357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</w:tcPr>
          <w:p w:rsidR="00AC4EF0" w:rsidRPr="00AC4EF0" w:rsidRDefault="00AC4EF0" w:rsidP="009357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EF0" w:rsidRPr="00AC4EF0" w:rsidTr="00AC4EF0">
        <w:tc>
          <w:tcPr>
            <w:tcW w:w="2813" w:type="dxa"/>
          </w:tcPr>
          <w:p w:rsidR="00AC4EF0" w:rsidRPr="00AC4EF0" w:rsidRDefault="00AC4EF0" w:rsidP="009357DD">
            <w:pPr>
              <w:pStyle w:val="NormaleWeb"/>
              <w:shd w:val="clear" w:color="auto" w:fill="FFFFFF"/>
              <w:spacing w:before="0" w:beforeAutospacing="0" w:after="150" w:afterAutospacing="0"/>
              <w:rPr>
                <w:color w:val="474747"/>
                <w:sz w:val="20"/>
                <w:szCs w:val="20"/>
              </w:rPr>
            </w:pPr>
            <w:r w:rsidRPr="008E2962">
              <w:rPr>
                <w:rStyle w:val="Enfasigrassetto"/>
                <w:color w:val="000000"/>
                <w:sz w:val="20"/>
                <w:szCs w:val="20"/>
              </w:rPr>
              <w:t>R.G. 10221/2019</w:t>
            </w:r>
          </w:p>
        </w:tc>
        <w:tc>
          <w:tcPr>
            <w:tcW w:w="2263" w:type="dxa"/>
          </w:tcPr>
          <w:p w:rsidR="00AC4EF0" w:rsidRPr="00AC4EF0" w:rsidRDefault="00AC4EF0" w:rsidP="009357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2" w:type="dxa"/>
          </w:tcPr>
          <w:p w:rsidR="00AC4EF0" w:rsidRPr="00AC4EF0" w:rsidRDefault="00AC4EF0" w:rsidP="009357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</w:tcPr>
          <w:p w:rsidR="00AC4EF0" w:rsidRPr="00AC4EF0" w:rsidRDefault="00AC4EF0" w:rsidP="009357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EF0" w:rsidRPr="00AC4EF0" w:rsidTr="00AC4EF0">
        <w:tc>
          <w:tcPr>
            <w:tcW w:w="2813" w:type="dxa"/>
          </w:tcPr>
          <w:p w:rsidR="00AC4EF0" w:rsidRPr="008E2962" w:rsidRDefault="00AC4EF0" w:rsidP="009357DD">
            <w:pPr>
              <w:pStyle w:val="NormaleWeb"/>
              <w:shd w:val="clear" w:color="auto" w:fill="FFFFFF"/>
              <w:spacing w:before="0" w:beforeAutospacing="0" w:after="150" w:afterAutospacing="0"/>
              <w:rPr>
                <w:color w:val="474747"/>
                <w:sz w:val="20"/>
                <w:szCs w:val="20"/>
              </w:rPr>
            </w:pPr>
            <w:r w:rsidRPr="008E2962">
              <w:rPr>
                <w:color w:val="000000"/>
                <w:sz w:val="20"/>
                <w:szCs w:val="20"/>
              </w:rPr>
              <w:t>Il Giudice dott. Massimo Vaccari,</w:t>
            </w:r>
          </w:p>
          <w:p w:rsidR="00AC4EF0" w:rsidRPr="008E2962" w:rsidRDefault="00AC4EF0" w:rsidP="009357DD">
            <w:pPr>
              <w:pStyle w:val="NormaleWeb"/>
              <w:shd w:val="clear" w:color="auto" w:fill="FFFFFF"/>
              <w:spacing w:before="0" w:beforeAutospacing="0" w:after="150" w:afterAutospacing="0"/>
              <w:rPr>
                <w:color w:val="474747"/>
                <w:sz w:val="20"/>
                <w:szCs w:val="20"/>
              </w:rPr>
            </w:pPr>
            <w:proofErr w:type="gramStart"/>
            <w:r w:rsidRPr="008E2962">
              <w:rPr>
                <w:color w:val="000000"/>
                <w:sz w:val="20"/>
                <w:szCs w:val="20"/>
              </w:rPr>
              <w:t>letto</w:t>
            </w:r>
            <w:proofErr w:type="gramEnd"/>
            <w:r w:rsidRPr="008E2962">
              <w:rPr>
                <w:color w:val="000000"/>
                <w:sz w:val="20"/>
                <w:szCs w:val="20"/>
              </w:rPr>
              <w:t xml:space="preserve"> il ricorso per la concessione di decreto ingiuntivo depositato da A. S.P.A. – AGENZIA PER IL LAVORO (C.F. —)</w:t>
            </w:r>
          </w:p>
          <w:p w:rsidR="00AC4EF0" w:rsidRPr="008E2962" w:rsidRDefault="00AC4EF0" w:rsidP="009357DD">
            <w:pPr>
              <w:pStyle w:val="NormaleWeb"/>
              <w:shd w:val="clear" w:color="auto" w:fill="FFFFFF"/>
              <w:spacing w:before="0" w:beforeAutospacing="0" w:after="150" w:afterAutospacing="0"/>
              <w:rPr>
                <w:color w:val="474747"/>
                <w:sz w:val="20"/>
                <w:szCs w:val="20"/>
              </w:rPr>
            </w:pPr>
            <w:proofErr w:type="gramStart"/>
            <w:r w:rsidRPr="008E2962">
              <w:rPr>
                <w:color w:val="000000"/>
                <w:sz w:val="20"/>
                <w:szCs w:val="20"/>
              </w:rPr>
              <w:t>rilevato</w:t>
            </w:r>
            <w:proofErr w:type="gramEnd"/>
            <w:r w:rsidRPr="008E2962">
              <w:rPr>
                <w:color w:val="000000"/>
                <w:sz w:val="20"/>
                <w:szCs w:val="20"/>
              </w:rPr>
              <w:t xml:space="preserve"> che dai documenti prodotti il credito risulta certo, liquido ed esigibile;</w:t>
            </w:r>
          </w:p>
          <w:p w:rsidR="00AC4EF0" w:rsidRPr="00AC4EF0" w:rsidRDefault="00AC4EF0" w:rsidP="009357DD">
            <w:pPr>
              <w:pStyle w:val="NormaleWeb"/>
              <w:shd w:val="clear" w:color="auto" w:fill="FFFFFF"/>
              <w:spacing w:before="0" w:beforeAutospacing="0" w:after="150" w:afterAutospacing="0"/>
              <w:rPr>
                <w:color w:val="474747"/>
                <w:sz w:val="20"/>
                <w:szCs w:val="20"/>
              </w:rPr>
            </w:pPr>
            <w:proofErr w:type="gramStart"/>
            <w:r w:rsidRPr="008E2962">
              <w:rPr>
                <w:color w:val="000000"/>
                <w:sz w:val="20"/>
                <w:szCs w:val="20"/>
              </w:rPr>
              <w:t>considerato che</w:t>
            </w:r>
            <w:proofErr w:type="gramEnd"/>
            <w:r w:rsidRPr="008E2962">
              <w:rPr>
                <w:color w:val="000000"/>
                <w:sz w:val="20"/>
                <w:szCs w:val="20"/>
              </w:rPr>
              <w:t xml:space="preserve"> sussistono le condizioni previste dall’art. 633 e seguenti </w:t>
            </w:r>
            <w:proofErr w:type="spellStart"/>
            <w:r w:rsidRPr="008E2962">
              <w:rPr>
                <w:color w:val="000000"/>
                <w:sz w:val="20"/>
                <w:szCs w:val="20"/>
              </w:rPr>
              <w:t>c.p.c.</w:t>
            </w:r>
            <w:proofErr w:type="spellEnd"/>
            <w:r w:rsidRPr="008E2962">
              <w:rPr>
                <w:color w:val="000000"/>
                <w:sz w:val="20"/>
                <w:szCs w:val="20"/>
              </w:rPr>
              <w:t xml:space="preserve"> atteso che il ricorrente ha dimesso quale prova scritta del credito ingiunto, relativo a prestazione di servizi, delle fatture elettroniche in formato “.</w:t>
            </w:r>
            <w:r w:rsidRPr="008E2962">
              <w:rPr>
                <w:rStyle w:val="Enfasicorsivo"/>
                <w:color w:val="000000"/>
                <w:sz w:val="20"/>
                <w:szCs w:val="20"/>
              </w:rPr>
              <w:t>xml</w:t>
            </w:r>
            <w:r w:rsidRPr="008E2962">
              <w:rPr>
                <w:color w:val="000000"/>
                <w:sz w:val="20"/>
                <w:szCs w:val="20"/>
              </w:rPr>
              <w:t xml:space="preserve">” ed esse devono ritenersi equipollenti all’estratto autentico delle scritture contabili previsto dall’art. 634, comma 2, </w:t>
            </w:r>
            <w:proofErr w:type="spellStart"/>
            <w:r w:rsidRPr="008E2962">
              <w:rPr>
                <w:color w:val="000000"/>
                <w:sz w:val="20"/>
                <w:szCs w:val="20"/>
              </w:rPr>
              <w:t>c.p.c.</w:t>
            </w:r>
            <w:proofErr w:type="spellEnd"/>
            <w:r w:rsidRPr="008E2962">
              <w:rPr>
                <w:color w:val="000000"/>
                <w:sz w:val="20"/>
                <w:szCs w:val="20"/>
              </w:rPr>
              <w:t>;</w:t>
            </w:r>
          </w:p>
        </w:tc>
        <w:tc>
          <w:tcPr>
            <w:tcW w:w="2263" w:type="dxa"/>
          </w:tcPr>
          <w:p w:rsidR="00AC4EF0" w:rsidRPr="00AC4EF0" w:rsidRDefault="00AC4EF0" w:rsidP="009357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2" w:type="dxa"/>
          </w:tcPr>
          <w:p w:rsidR="00AC4EF0" w:rsidRPr="00AC4EF0" w:rsidRDefault="00AC4EF0" w:rsidP="009357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</w:tcPr>
          <w:p w:rsidR="00AC4EF0" w:rsidRPr="00AC4EF0" w:rsidRDefault="00AC4EF0" w:rsidP="009357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EF0" w:rsidRPr="00AC4EF0" w:rsidTr="00AC4EF0">
        <w:tc>
          <w:tcPr>
            <w:tcW w:w="2813" w:type="dxa"/>
          </w:tcPr>
          <w:p w:rsidR="00AC4EF0" w:rsidRPr="00AC4EF0" w:rsidRDefault="00AC4EF0" w:rsidP="009357DD">
            <w:pPr>
              <w:pStyle w:val="NormaleWeb"/>
              <w:shd w:val="clear" w:color="auto" w:fill="FFFFFF"/>
              <w:spacing w:before="0" w:beforeAutospacing="0" w:after="150" w:afterAutospacing="0"/>
              <w:rPr>
                <w:color w:val="474747"/>
                <w:sz w:val="20"/>
                <w:szCs w:val="20"/>
              </w:rPr>
            </w:pPr>
            <w:r w:rsidRPr="008E2962">
              <w:rPr>
                <w:color w:val="000000"/>
                <w:sz w:val="20"/>
                <w:szCs w:val="20"/>
              </w:rPr>
              <w:t xml:space="preserve">che a tale conclusione si perviene considerando che, nel Provvedimento n. 89757/2018, l’Agenzia delle Entrate ha fornito dettagliate indicazioni in </w:t>
            </w:r>
            <w:r w:rsidRPr="008E2962">
              <w:rPr>
                <w:color w:val="000000"/>
                <w:sz w:val="20"/>
                <w:szCs w:val="20"/>
              </w:rPr>
              <w:lastRenderedPageBreak/>
              <w:t xml:space="preserve">merito al funzionamento e alle caratteristiche tecniche del Sistema di Interscambio (SDI), che gestisce la fatturazione elettronica, precisando che: </w:t>
            </w:r>
            <w:r w:rsidRPr="008E2962">
              <w:rPr>
                <w:color w:val="000000"/>
                <w:sz w:val="20"/>
                <w:szCs w:val="20"/>
                <w:highlight w:val="yellow"/>
              </w:rPr>
              <w:t>«</w:t>
            </w:r>
            <w:r w:rsidRPr="008E2962">
              <w:rPr>
                <w:rStyle w:val="Enfasicorsivo"/>
                <w:color w:val="000000"/>
                <w:sz w:val="20"/>
                <w:szCs w:val="20"/>
                <w:highlight w:val="yellow"/>
              </w:rPr>
              <w:t>La fattura elettronica è un file in formato XML (</w:t>
            </w:r>
            <w:proofErr w:type="spellStart"/>
            <w:r w:rsidRPr="008E2962">
              <w:rPr>
                <w:rStyle w:val="Enfasicorsivo"/>
                <w:color w:val="000000"/>
                <w:sz w:val="20"/>
                <w:szCs w:val="20"/>
                <w:highlight w:val="yellow"/>
              </w:rPr>
              <w:t>n.d.r.</w:t>
            </w:r>
            <w:proofErr w:type="spellEnd"/>
            <w:r w:rsidRPr="008E2962">
              <w:rPr>
                <w:rStyle w:val="Enfasicorsivo"/>
                <w:color w:val="000000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8E2962">
              <w:rPr>
                <w:rStyle w:val="Enfasicorsivo"/>
                <w:color w:val="000000"/>
                <w:sz w:val="20"/>
                <w:szCs w:val="20"/>
                <w:highlight w:val="yellow"/>
              </w:rPr>
              <w:t>eXtensible</w:t>
            </w:r>
            <w:proofErr w:type="spellEnd"/>
            <w:r w:rsidRPr="008E2962">
              <w:rPr>
                <w:rStyle w:val="Enfasicorsivo"/>
                <w:color w:val="000000"/>
                <w:sz w:val="20"/>
                <w:szCs w:val="20"/>
                <w:highlight w:val="yellow"/>
              </w:rPr>
              <w:t xml:space="preserve"> Markup Language), non contenente macroistruzioni o codici eseguibili tali da attivare funzionalità che possano modificare gli atti, i fatti o i dati nello stesso rappresentati, conforme alle specifiche tecniche di cui all’allegato A del presente provvedimento» </w:t>
            </w:r>
            <w:r w:rsidRPr="008E2962">
              <w:rPr>
                <w:color w:val="000000"/>
                <w:sz w:val="20"/>
                <w:szCs w:val="20"/>
                <w:highlight w:val="yellow"/>
              </w:rPr>
              <w:t>(</w:t>
            </w:r>
            <w:proofErr w:type="spellStart"/>
            <w:r w:rsidRPr="008E2962">
              <w:rPr>
                <w:rStyle w:val="Enfasicorsivo"/>
                <w:color w:val="000000"/>
                <w:sz w:val="20"/>
                <w:szCs w:val="20"/>
                <w:highlight w:val="yellow"/>
              </w:rPr>
              <w:t>n.d.r.</w:t>
            </w:r>
            <w:proofErr w:type="spellEnd"/>
            <w:r w:rsidRPr="008E2962">
              <w:rPr>
                <w:rStyle w:val="Enfasicorsivo"/>
                <w:color w:val="000000"/>
                <w:sz w:val="20"/>
                <w:szCs w:val="20"/>
                <w:highlight w:val="yellow"/>
              </w:rPr>
              <w:t xml:space="preserve"> punto 1.3 del Provvedimento del Direttore dell’Agenzia delle entrate del 30 aprile 2018, </w:t>
            </w:r>
            <w:proofErr w:type="spellStart"/>
            <w:r w:rsidRPr="008E2962">
              <w:rPr>
                <w:rStyle w:val="Enfasicorsivo"/>
                <w:color w:val="000000"/>
                <w:sz w:val="20"/>
                <w:szCs w:val="20"/>
                <w:highlight w:val="yellow"/>
              </w:rPr>
              <w:t>prot</w:t>
            </w:r>
            <w:proofErr w:type="spellEnd"/>
            <w:r w:rsidRPr="008E2962">
              <w:rPr>
                <w:rStyle w:val="Enfasicorsivo"/>
                <w:color w:val="000000"/>
                <w:sz w:val="20"/>
                <w:szCs w:val="20"/>
                <w:highlight w:val="yellow"/>
              </w:rPr>
              <w:t>. n. 89757/2018), </w:t>
            </w:r>
            <w:r w:rsidRPr="008E2962">
              <w:rPr>
                <w:color w:val="000000"/>
                <w:sz w:val="20"/>
                <w:szCs w:val="20"/>
                <w:highlight w:val="yellow"/>
              </w:rPr>
              <w:t>nonché che: «</w:t>
            </w:r>
            <w:r w:rsidRPr="008E2962">
              <w:rPr>
                <w:rStyle w:val="Enfasicorsivo"/>
                <w:color w:val="000000"/>
                <w:sz w:val="20"/>
                <w:szCs w:val="20"/>
                <w:highlight w:val="yellow"/>
              </w:rPr>
              <w:t xml:space="preserve">Nel caso in cui il file della fattura sia firmato elettronicamente, il </w:t>
            </w:r>
            <w:proofErr w:type="spellStart"/>
            <w:r w:rsidRPr="008E2962">
              <w:rPr>
                <w:rStyle w:val="Enfasicorsivo"/>
                <w:color w:val="000000"/>
                <w:sz w:val="20"/>
                <w:szCs w:val="20"/>
                <w:highlight w:val="yellow"/>
              </w:rPr>
              <w:t>SdI</w:t>
            </w:r>
            <w:proofErr w:type="spellEnd"/>
            <w:r w:rsidRPr="008E2962">
              <w:rPr>
                <w:rStyle w:val="Enfasicorsivo"/>
                <w:color w:val="000000"/>
                <w:sz w:val="20"/>
                <w:szCs w:val="20"/>
                <w:highlight w:val="yellow"/>
              </w:rPr>
              <w:t xml:space="preserve"> effettua un controllo sulla validità del certificato di firma. In caso di esito negativo del controllo, il file </w:t>
            </w:r>
            <w:proofErr w:type="gramStart"/>
            <w:r w:rsidRPr="008E2962">
              <w:rPr>
                <w:rStyle w:val="Enfasicorsivo"/>
                <w:color w:val="000000"/>
                <w:sz w:val="20"/>
                <w:szCs w:val="20"/>
                <w:highlight w:val="yellow"/>
              </w:rPr>
              <w:t>viene</w:t>
            </w:r>
            <w:proofErr w:type="gramEnd"/>
            <w:r w:rsidRPr="008E2962">
              <w:rPr>
                <w:rStyle w:val="Enfasicorsivo"/>
                <w:color w:val="000000"/>
                <w:sz w:val="20"/>
                <w:szCs w:val="20"/>
                <w:highlight w:val="yellow"/>
              </w:rPr>
              <w:t xml:space="preserve"> scartato e viene inviata la ricevuta di cui al punto 2.4</w:t>
            </w:r>
            <w:r w:rsidRPr="008E2962">
              <w:rPr>
                <w:color w:val="000000"/>
                <w:sz w:val="20"/>
                <w:szCs w:val="20"/>
                <w:highlight w:val="yellow"/>
              </w:rPr>
              <w:t>», </w:t>
            </w:r>
            <w:r w:rsidRPr="008E2962">
              <w:rPr>
                <w:rStyle w:val="Enfasicorsivo"/>
                <w:color w:val="000000"/>
                <w:sz w:val="20"/>
                <w:szCs w:val="20"/>
                <w:highlight w:val="yellow"/>
              </w:rPr>
              <w:t>cd. ricevuta di scarto (</w:t>
            </w:r>
            <w:proofErr w:type="spellStart"/>
            <w:r w:rsidRPr="008E2962">
              <w:rPr>
                <w:rStyle w:val="Enfasicorsivo"/>
                <w:color w:val="000000"/>
                <w:sz w:val="20"/>
                <w:szCs w:val="20"/>
                <w:highlight w:val="yellow"/>
              </w:rPr>
              <w:t>n.d.r.</w:t>
            </w:r>
            <w:proofErr w:type="spellEnd"/>
            <w:r w:rsidRPr="008E2962">
              <w:rPr>
                <w:rStyle w:val="Enfasicorsivo"/>
                <w:color w:val="000000"/>
                <w:sz w:val="20"/>
                <w:szCs w:val="20"/>
                <w:highlight w:val="yellow"/>
              </w:rPr>
              <w:t xml:space="preserve"> punto 26 del Provvedimento </w:t>
            </w:r>
            <w:proofErr w:type="spellStart"/>
            <w:r w:rsidRPr="008E2962">
              <w:rPr>
                <w:rStyle w:val="Enfasicorsivo"/>
                <w:color w:val="000000"/>
                <w:sz w:val="20"/>
                <w:szCs w:val="20"/>
                <w:highlight w:val="yellow"/>
              </w:rPr>
              <w:t>prot</w:t>
            </w:r>
            <w:proofErr w:type="spellEnd"/>
            <w:r w:rsidRPr="008E2962">
              <w:rPr>
                <w:rStyle w:val="Enfasicorsivo"/>
                <w:color w:val="000000"/>
                <w:sz w:val="20"/>
                <w:szCs w:val="20"/>
                <w:highlight w:val="yellow"/>
              </w:rPr>
              <w:t>. n. 89757/2018).</w:t>
            </w:r>
          </w:p>
        </w:tc>
        <w:tc>
          <w:tcPr>
            <w:tcW w:w="2263" w:type="dxa"/>
          </w:tcPr>
          <w:p w:rsidR="00AC4EF0" w:rsidRPr="00AC4EF0" w:rsidRDefault="00AC4EF0" w:rsidP="009357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2" w:type="dxa"/>
          </w:tcPr>
          <w:p w:rsidR="00AC4EF0" w:rsidRPr="00AC4EF0" w:rsidRDefault="00AC4EF0" w:rsidP="009357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</w:tcPr>
          <w:p w:rsidR="00AC4EF0" w:rsidRPr="00AC4EF0" w:rsidRDefault="00AC4EF0" w:rsidP="009357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EF0" w:rsidRPr="00AC4EF0" w:rsidTr="00AC4EF0">
        <w:tc>
          <w:tcPr>
            <w:tcW w:w="2813" w:type="dxa"/>
          </w:tcPr>
          <w:p w:rsidR="00AC4EF0" w:rsidRPr="00AC4EF0" w:rsidRDefault="00AC4EF0" w:rsidP="009357DD">
            <w:pPr>
              <w:pStyle w:val="NormaleWeb"/>
              <w:shd w:val="clear" w:color="auto" w:fill="FFFFFF"/>
              <w:spacing w:before="0" w:beforeAutospacing="0" w:after="150" w:afterAutospacing="0"/>
              <w:rPr>
                <w:color w:val="474747"/>
                <w:sz w:val="20"/>
                <w:szCs w:val="20"/>
              </w:rPr>
            </w:pPr>
            <w:r w:rsidRPr="008E2962">
              <w:rPr>
                <w:color w:val="000000"/>
                <w:sz w:val="20"/>
                <w:szCs w:val="20"/>
                <w:highlight w:val="yellow"/>
              </w:rPr>
              <w:lastRenderedPageBreak/>
              <w:t>Che, ancora deve evidenziarsi che l’art. 1, comma 1, lettera </w:t>
            </w:r>
            <w:r w:rsidRPr="008E2962">
              <w:rPr>
                <w:rStyle w:val="Enfasicorsivo"/>
                <w:color w:val="000000"/>
                <w:sz w:val="20"/>
                <w:szCs w:val="20"/>
                <w:highlight w:val="yellow"/>
              </w:rPr>
              <w:t>l)</w:t>
            </w:r>
            <w:r w:rsidRPr="008E2962">
              <w:rPr>
                <w:color w:val="000000"/>
                <w:sz w:val="20"/>
                <w:szCs w:val="20"/>
                <w:highlight w:val="yellow"/>
              </w:rPr>
              <w:t>, </w:t>
            </w:r>
            <w:r w:rsidRPr="008E2962">
              <w:rPr>
                <w:rStyle w:val="Enfasicorsivo"/>
                <w:color w:val="000000"/>
                <w:sz w:val="20"/>
                <w:szCs w:val="20"/>
                <w:highlight w:val="yellow"/>
              </w:rPr>
              <w:t>quinquies</w:t>
            </w:r>
            <w:r w:rsidRPr="008E2962">
              <w:rPr>
                <w:color w:val="000000"/>
                <w:sz w:val="20"/>
                <w:szCs w:val="20"/>
                <w:highlight w:val="yellow"/>
              </w:rPr>
              <w:t> (titolato: «</w:t>
            </w:r>
            <w:r w:rsidRPr="008E2962">
              <w:rPr>
                <w:rStyle w:val="Enfasicorsivo"/>
                <w:color w:val="000000"/>
                <w:sz w:val="20"/>
                <w:szCs w:val="20"/>
                <w:highlight w:val="yellow"/>
              </w:rPr>
              <w:t>Definizioni</w:t>
            </w:r>
            <w:r w:rsidRPr="008E2962">
              <w:rPr>
                <w:color w:val="000000"/>
                <w:sz w:val="20"/>
                <w:szCs w:val="20"/>
                <w:highlight w:val="yellow"/>
              </w:rPr>
              <w:t xml:space="preserve">») del </w:t>
            </w:r>
            <w:proofErr w:type="spellStart"/>
            <w:r w:rsidRPr="008E2962">
              <w:rPr>
                <w:color w:val="000000"/>
                <w:sz w:val="20"/>
                <w:szCs w:val="20"/>
                <w:highlight w:val="yellow"/>
              </w:rPr>
              <w:t>D.Lgs.</w:t>
            </w:r>
            <w:proofErr w:type="spellEnd"/>
            <w:r w:rsidRPr="008E2962">
              <w:rPr>
                <w:color w:val="000000"/>
                <w:sz w:val="20"/>
                <w:szCs w:val="20"/>
                <w:highlight w:val="yellow"/>
              </w:rPr>
              <w:t xml:space="preserve"> n.82/2005 così come aggiornato e recante «</w:t>
            </w:r>
            <w:r w:rsidRPr="008E2962">
              <w:rPr>
                <w:rStyle w:val="Enfasicorsivo"/>
                <w:color w:val="000000"/>
                <w:sz w:val="20"/>
                <w:szCs w:val="20"/>
                <w:highlight w:val="yellow"/>
              </w:rPr>
              <w:t>Codice dell’Amministrazione Digitale</w:t>
            </w:r>
            <w:r w:rsidRPr="008E2962">
              <w:rPr>
                <w:color w:val="000000"/>
                <w:sz w:val="20"/>
                <w:szCs w:val="20"/>
                <w:highlight w:val="yellow"/>
              </w:rPr>
              <w:t>» (CAD), stabilisce, testualmente, che: «1.</w:t>
            </w:r>
            <w:r w:rsidRPr="008E2962">
              <w:rPr>
                <w:rStyle w:val="Enfasicorsivo"/>
                <w:color w:val="000000"/>
                <w:sz w:val="20"/>
                <w:szCs w:val="20"/>
                <w:highlight w:val="yellow"/>
              </w:rPr>
              <w:t> Ai fini del presente codice si intende per […] i-quinquies) duplicato informatico: il documento informatico ottenuto mediante la memorizzazione, sullo stesso dispositivo o su dispositivi diversi, della medesima sequenza di valori binari del documento originario</w:t>
            </w:r>
            <w:r w:rsidRPr="008E2962">
              <w:rPr>
                <w:color w:val="000000"/>
                <w:sz w:val="20"/>
                <w:szCs w:val="20"/>
                <w:highlight w:val="yellow"/>
              </w:rPr>
              <w:t>»;</w:t>
            </w:r>
          </w:p>
        </w:tc>
        <w:tc>
          <w:tcPr>
            <w:tcW w:w="2263" w:type="dxa"/>
          </w:tcPr>
          <w:p w:rsidR="00AC4EF0" w:rsidRPr="00AC4EF0" w:rsidRDefault="00AC4EF0" w:rsidP="009357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2" w:type="dxa"/>
          </w:tcPr>
          <w:p w:rsidR="00AC4EF0" w:rsidRPr="00AC4EF0" w:rsidRDefault="00AC4EF0" w:rsidP="009357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</w:tcPr>
          <w:p w:rsidR="00AC4EF0" w:rsidRPr="00AC4EF0" w:rsidRDefault="00AC4EF0" w:rsidP="009357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EF0" w:rsidRPr="00AC4EF0" w:rsidTr="00AC4EF0">
        <w:tc>
          <w:tcPr>
            <w:tcW w:w="2813" w:type="dxa"/>
          </w:tcPr>
          <w:p w:rsidR="00AC4EF0" w:rsidRPr="008E2962" w:rsidRDefault="00AC4EF0" w:rsidP="009357DD">
            <w:pPr>
              <w:pStyle w:val="NormaleWeb"/>
              <w:shd w:val="clear" w:color="auto" w:fill="FFFFFF"/>
              <w:spacing w:before="0" w:beforeAutospacing="0" w:after="150" w:afterAutospacing="0"/>
              <w:rPr>
                <w:color w:val="474747"/>
                <w:sz w:val="20"/>
                <w:szCs w:val="20"/>
              </w:rPr>
            </w:pPr>
            <w:proofErr w:type="gramStart"/>
            <w:r w:rsidRPr="008E2962">
              <w:rPr>
                <w:color w:val="000000"/>
                <w:sz w:val="20"/>
                <w:szCs w:val="20"/>
              </w:rPr>
              <w:t>che</w:t>
            </w:r>
            <w:proofErr w:type="gramEnd"/>
            <w:r w:rsidRPr="008E2962">
              <w:rPr>
                <w:color w:val="000000"/>
                <w:sz w:val="20"/>
                <w:szCs w:val="20"/>
              </w:rPr>
              <w:t>, pertanto, </w:t>
            </w:r>
            <w:r w:rsidRPr="008E2962">
              <w:rPr>
                <w:rStyle w:val="Enfasigrassetto"/>
                <w:color w:val="000000"/>
                <w:sz w:val="20"/>
                <w:szCs w:val="20"/>
                <w:u w:val="single"/>
              </w:rPr>
              <w:t>il SDI genera documenti informatici autentici ed immodificabili</w:t>
            </w:r>
            <w:r w:rsidRPr="008E2962">
              <w:rPr>
                <w:color w:val="000000"/>
                <w:sz w:val="20"/>
                <w:szCs w:val="20"/>
              </w:rPr>
              <w:t xml:space="preserve">, che non sono semplici “copie informatiche di documenti informatici” bensì “duplicati informatici”, assolutamente indistinguibili dai loro originali, potendo essere scaricati da </w:t>
            </w:r>
            <w:r w:rsidRPr="008E2962">
              <w:rPr>
                <w:color w:val="000000"/>
                <w:sz w:val="20"/>
                <w:szCs w:val="20"/>
              </w:rPr>
              <w:lastRenderedPageBreak/>
              <w:t>“fonte/terzo qualificato”, come l’Agenzia delle Entrate;</w:t>
            </w:r>
          </w:p>
          <w:p w:rsidR="00AC4EF0" w:rsidRPr="00AC4EF0" w:rsidRDefault="00AC4EF0" w:rsidP="009357DD">
            <w:pPr>
              <w:pStyle w:val="NormaleWeb"/>
              <w:shd w:val="clear" w:color="auto" w:fill="FFFFFF"/>
              <w:spacing w:before="0" w:beforeAutospacing="0" w:after="150" w:afterAutospacing="0"/>
              <w:rPr>
                <w:color w:val="474747"/>
                <w:sz w:val="20"/>
                <w:szCs w:val="20"/>
              </w:rPr>
            </w:pPr>
            <w:proofErr w:type="gramStart"/>
            <w:r w:rsidRPr="008E2962">
              <w:rPr>
                <w:color w:val="000000"/>
                <w:sz w:val="20"/>
                <w:szCs w:val="20"/>
              </w:rPr>
              <w:t>che</w:t>
            </w:r>
            <w:proofErr w:type="gramEnd"/>
            <w:r w:rsidRPr="008E2962">
              <w:rPr>
                <w:color w:val="000000"/>
                <w:sz w:val="20"/>
                <w:szCs w:val="20"/>
              </w:rPr>
              <w:t xml:space="preserve"> proprio in ragione delle sopra descritte caratteristiche della fattura elettronica, l’art. 1, comma 3-</w:t>
            </w:r>
            <w:r w:rsidRPr="008E2962">
              <w:rPr>
                <w:rStyle w:val="Enfasicorsivo"/>
                <w:color w:val="000000"/>
                <w:sz w:val="20"/>
                <w:szCs w:val="20"/>
              </w:rPr>
              <w:t>te</w:t>
            </w:r>
            <w:r w:rsidRPr="008E2962">
              <w:rPr>
                <w:color w:val="000000"/>
                <w:sz w:val="20"/>
                <w:szCs w:val="20"/>
              </w:rPr>
              <w:t xml:space="preserve">r, </w:t>
            </w:r>
            <w:proofErr w:type="spellStart"/>
            <w:r w:rsidRPr="008E2962">
              <w:rPr>
                <w:color w:val="000000"/>
                <w:sz w:val="20"/>
                <w:szCs w:val="20"/>
              </w:rPr>
              <w:t>D.Lgs.</w:t>
            </w:r>
            <w:proofErr w:type="spellEnd"/>
            <w:r w:rsidRPr="008E2962">
              <w:rPr>
                <w:color w:val="000000"/>
                <w:sz w:val="20"/>
                <w:szCs w:val="20"/>
              </w:rPr>
              <w:t xml:space="preserve"> 127/2015 prevede che i soggetti obbligati ad emetterle in via esclusiva mediante il Sistema di Interscambio (di cui al comma 3°) sono esonerati dall’obbligo di annotazione nei registri di cui agli artt. 23 e 25 D.P.R. 633/1972 </w:t>
            </w:r>
            <w:proofErr w:type="spellStart"/>
            <w:r w:rsidRPr="008E2962">
              <w:rPr>
                <w:color w:val="000000"/>
                <w:sz w:val="20"/>
                <w:szCs w:val="20"/>
              </w:rPr>
              <w:t>cosicchè</w:t>
            </w:r>
            <w:proofErr w:type="spellEnd"/>
            <w:r w:rsidRPr="008E2962">
              <w:rPr>
                <w:color w:val="000000"/>
                <w:sz w:val="20"/>
                <w:szCs w:val="20"/>
              </w:rPr>
              <w:t xml:space="preserve"> per tali soggetti deve ritenersi che sia venuto meno anche l’obbligo di tenere i predetti registri, e di conseguenza gli obblighi previsti dall’art. 634 comma 2, </w:t>
            </w:r>
            <w:proofErr w:type="spellStart"/>
            <w:r w:rsidRPr="008E2962">
              <w:rPr>
                <w:color w:val="000000"/>
                <w:sz w:val="20"/>
                <w:szCs w:val="20"/>
              </w:rPr>
              <w:t>c.p.c.</w:t>
            </w:r>
            <w:proofErr w:type="spellEnd"/>
            <w:r w:rsidRPr="008E2962">
              <w:rPr>
                <w:color w:val="000000"/>
                <w:sz w:val="20"/>
                <w:szCs w:val="20"/>
              </w:rPr>
              <w:t xml:space="preserve"> ai fini dell’ottenimento del decreto ingiuntivo, poiché è illogico pensare che un’impresa debba tenere delle scritture contabili che non ha l’obbligo di utilizzare;</w:t>
            </w:r>
          </w:p>
        </w:tc>
        <w:tc>
          <w:tcPr>
            <w:tcW w:w="2263" w:type="dxa"/>
          </w:tcPr>
          <w:p w:rsidR="00AC4EF0" w:rsidRPr="00AC4EF0" w:rsidRDefault="00AC4EF0" w:rsidP="009357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2" w:type="dxa"/>
          </w:tcPr>
          <w:p w:rsidR="00AC4EF0" w:rsidRPr="00AC4EF0" w:rsidRDefault="00AC4EF0" w:rsidP="009357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</w:tcPr>
          <w:p w:rsidR="00AC4EF0" w:rsidRPr="00AC4EF0" w:rsidRDefault="00AC4EF0" w:rsidP="009357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EF0" w:rsidRPr="00AC4EF0" w:rsidTr="00AC4EF0">
        <w:tc>
          <w:tcPr>
            <w:tcW w:w="2813" w:type="dxa"/>
          </w:tcPr>
          <w:p w:rsidR="00AC4EF0" w:rsidRPr="008E2962" w:rsidRDefault="00AC4EF0" w:rsidP="009357DD">
            <w:pPr>
              <w:pStyle w:val="NormaleWeb"/>
              <w:shd w:val="clear" w:color="auto" w:fill="FFFFFF"/>
              <w:spacing w:before="0" w:beforeAutospacing="0" w:after="150" w:afterAutospacing="0"/>
              <w:rPr>
                <w:color w:val="474747"/>
                <w:sz w:val="20"/>
                <w:szCs w:val="20"/>
              </w:rPr>
            </w:pPr>
            <w:proofErr w:type="gramStart"/>
            <w:r w:rsidRPr="008E2962">
              <w:rPr>
                <w:color w:val="000000"/>
                <w:sz w:val="20"/>
                <w:szCs w:val="20"/>
              </w:rPr>
              <w:lastRenderedPageBreak/>
              <w:t>considerato</w:t>
            </w:r>
            <w:proofErr w:type="gramEnd"/>
            <w:r w:rsidRPr="008E2962">
              <w:rPr>
                <w:color w:val="000000"/>
                <w:sz w:val="20"/>
                <w:szCs w:val="20"/>
              </w:rPr>
              <w:t xml:space="preserve"> ulteriormente che ricorrono i presupposti per ingiungere il pagamento senza dilazione </w:t>
            </w:r>
            <w:r w:rsidRPr="008E2962">
              <w:rPr>
                <w:rStyle w:val="Enfasicorsivo"/>
                <w:color w:val="000000"/>
                <w:sz w:val="20"/>
                <w:szCs w:val="20"/>
              </w:rPr>
              <w:t>ex </w:t>
            </w:r>
            <w:r w:rsidRPr="008E2962">
              <w:rPr>
                <w:color w:val="000000"/>
                <w:sz w:val="20"/>
                <w:szCs w:val="20"/>
              </w:rPr>
              <w:t xml:space="preserve">art. 642 </w:t>
            </w:r>
            <w:proofErr w:type="spellStart"/>
            <w:r w:rsidRPr="008E2962">
              <w:rPr>
                <w:color w:val="000000"/>
                <w:sz w:val="20"/>
                <w:szCs w:val="20"/>
              </w:rPr>
              <w:t>c.p.c.</w:t>
            </w:r>
            <w:proofErr w:type="spellEnd"/>
            <w:r w:rsidRPr="008E2962">
              <w:rPr>
                <w:color w:val="000000"/>
                <w:sz w:val="20"/>
                <w:szCs w:val="20"/>
              </w:rPr>
              <w:t>;</w:t>
            </w:r>
            <w:r w:rsidRPr="008E2962">
              <w:rPr>
                <w:rStyle w:val="Enfasigrassetto"/>
                <w:color w:val="000000"/>
                <w:sz w:val="20"/>
                <w:szCs w:val="20"/>
              </w:rPr>
              <w:t> </w:t>
            </w:r>
          </w:p>
          <w:p w:rsidR="00AC4EF0" w:rsidRPr="008E2962" w:rsidRDefault="00AC4EF0" w:rsidP="009357DD">
            <w:pPr>
              <w:pStyle w:val="NormaleWeb"/>
              <w:shd w:val="clear" w:color="auto" w:fill="FFFFFF"/>
              <w:spacing w:before="0" w:beforeAutospacing="0" w:after="150" w:afterAutospacing="0"/>
              <w:rPr>
                <w:color w:val="474747"/>
                <w:sz w:val="20"/>
                <w:szCs w:val="20"/>
              </w:rPr>
            </w:pPr>
            <w:r w:rsidRPr="008E2962">
              <w:rPr>
                <w:rStyle w:val="Enfasigrassetto"/>
                <w:color w:val="000000"/>
                <w:sz w:val="20"/>
                <w:szCs w:val="20"/>
              </w:rPr>
              <w:t>INGIUNGE A</w:t>
            </w:r>
          </w:p>
          <w:p w:rsidR="00AC4EF0" w:rsidRPr="00AC4EF0" w:rsidRDefault="00AC4EF0" w:rsidP="009357DD">
            <w:pPr>
              <w:pStyle w:val="NormaleWeb"/>
              <w:shd w:val="clear" w:color="auto" w:fill="FFFFFF"/>
              <w:spacing w:before="0" w:beforeAutospacing="0" w:after="150" w:afterAutospacing="0"/>
              <w:rPr>
                <w:color w:val="474747"/>
                <w:sz w:val="20"/>
                <w:szCs w:val="20"/>
              </w:rPr>
            </w:pPr>
            <w:r w:rsidRPr="008E2962">
              <w:rPr>
                <w:rStyle w:val="Enfasigrassetto"/>
                <w:color w:val="000000"/>
                <w:sz w:val="20"/>
                <w:szCs w:val="20"/>
              </w:rPr>
              <w:t> B S.R.L.</w:t>
            </w:r>
            <w:proofErr w:type="gramStart"/>
            <w:r w:rsidRPr="008E2962">
              <w:rPr>
                <w:rStyle w:val="Enfasigrassetto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8E2962">
              <w:rPr>
                <w:rStyle w:val="Enfasigrassetto"/>
                <w:color w:val="000000"/>
                <w:sz w:val="20"/>
                <w:szCs w:val="20"/>
              </w:rPr>
              <w:t xml:space="preserve"> C.F. (—)</w:t>
            </w:r>
          </w:p>
        </w:tc>
        <w:tc>
          <w:tcPr>
            <w:tcW w:w="2263" w:type="dxa"/>
          </w:tcPr>
          <w:p w:rsidR="00AC4EF0" w:rsidRPr="00AC4EF0" w:rsidRDefault="00AC4EF0" w:rsidP="009357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2" w:type="dxa"/>
          </w:tcPr>
          <w:p w:rsidR="00AC4EF0" w:rsidRPr="00AC4EF0" w:rsidRDefault="00AC4EF0" w:rsidP="009357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</w:tcPr>
          <w:p w:rsidR="00AC4EF0" w:rsidRPr="00AC4EF0" w:rsidRDefault="00AC4EF0" w:rsidP="009357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EF0" w:rsidRPr="00AC4EF0" w:rsidTr="00AC4EF0">
        <w:tc>
          <w:tcPr>
            <w:tcW w:w="2813" w:type="dxa"/>
          </w:tcPr>
          <w:p w:rsidR="00AC4EF0" w:rsidRPr="008E2962" w:rsidRDefault="00AC4EF0" w:rsidP="009357DD">
            <w:pPr>
              <w:pStyle w:val="NormaleWeb"/>
              <w:shd w:val="clear" w:color="auto" w:fill="FFFFFF"/>
              <w:spacing w:before="0" w:beforeAutospacing="0" w:after="150" w:afterAutospacing="0"/>
              <w:rPr>
                <w:color w:val="474747"/>
                <w:sz w:val="20"/>
                <w:szCs w:val="20"/>
              </w:rPr>
            </w:pPr>
            <w:proofErr w:type="gramStart"/>
            <w:r w:rsidRPr="008E2962">
              <w:rPr>
                <w:color w:val="000000"/>
                <w:sz w:val="20"/>
                <w:szCs w:val="20"/>
              </w:rPr>
              <w:t>di</w:t>
            </w:r>
            <w:proofErr w:type="gramEnd"/>
            <w:r w:rsidRPr="008E2962">
              <w:rPr>
                <w:color w:val="000000"/>
                <w:sz w:val="20"/>
                <w:szCs w:val="20"/>
              </w:rPr>
              <w:t xml:space="preserve"> pagare alla parte ricorrente per le causali di cui al ricorso, immediatamente:</w:t>
            </w:r>
          </w:p>
          <w:p w:rsidR="00AC4EF0" w:rsidRPr="008E2962" w:rsidRDefault="00AC4EF0" w:rsidP="009357DD">
            <w:pPr>
              <w:pStyle w:val="NormaleWeb"/>
              <w:shd w:val="clear" w:color="auto" w:fill="FFFFFF"/>
              <w:spacing w:before="0" w:beforeAutospacing="0" w:after="150" w:afterAutospacing="0"/>
              <w:rPr>
                <w:color w:val="474747"/>
                <w:sz w:val="20"/>
                <w:szCs w:val="20"/>
              </w:rPr>
            </w:pPr>
            <w:r w:rsidRPr="008E2962">
              <w:rPr>
                <w:color w:val="000000"/>
                <w:sz w:val="20"/>
                <w:szCs w:val="20"/>
              </w:rPr>
              <w:t>1. la somma di euro 24372,88;</w:t>
            </w:r>
          </w:p>
          <w:p w:rsidR="00AC4EF0" w:rsidRPr="008E2962" w:rsidRDefault="00AC4EF0" w:rsidP="009357DD">
            <w:pPr>
              <w:pStyle w:val="NormaleWeb"/>
              <w:shd w:val="clear" w:color="auto" w:fill="FFFFFF"/>
              <w:spacing w:before="0" w:beforeAutospacing="0" w:after="150" w:afterAutospacing="0"/>
              <w:rPr>
                <w:color w:val="474747"/>
                <w:sz w:val="20"/>
                <w:szCs w:val="20"/>
              </w:rPr>
            </w:pPr>
            <w:r w:rsidRPr="008E2962">
              <w:rPr>
                <w:color w:val="000000"/>
                <w:sz w:val="20"/>
                <w:szCs w:val="20"/>
              </w:rPr>
              <w:t>2. gli interessi come da domanda;</w:t>
            </w:r>
          </w:p>
          <w:p w:rsidR="00AC4EF0" w:rsidRPr="00AC4EF0" w:rsidRDefault="00AC4EF0" w:rsidP="009357DD">
            <w:pPr>
              <w:pStyle w:val="NormaleWeb"/>
              <w:shd w:val="clear" w:color="auto" w:fill="FFFFFF"/>
              <w:spacing w:before="0" w:beforeAutospacing="0" w:after="150" w:afterAutospacing="0"/>
              <w:rPr>
                <w:color w:val="474747"/>
                <w:sz w:val="20"/>
                <w:szCs w:val="20"/>
              </w:rPr>
            </w:pPr>
            <w:r w:rsidRPr="008E2962">
              <w:rPr>
                <w:color w:val="000000"/>
                <w:sz w:val="20"/>
                <w:szCs w:val="20"/>
              </w:rPr>
              <w:t xml:space="preserve">3. le spese di questa procedura di ingiunzione, liquidate in € 145,50 per esborsi e in euro 828,00 per compenso, oltre rimborso I.V.A. (se dovuta) e </w:t>
            </w:r>
            <w:proofErr w:type="spellStart"/>
            <w:r w:rsidRPr="008E2962">
              <w:rPr>
                <w:color w:val="000000"/>
                <w:sz w:val="20"/>
                <w:szCs w:val="20"/>
              </w:rPr>
              <w:t>c.p.a</w:t>
            </w:r>
            <w:proofErr w:type="spellEnd"/>
            <w:r w:rsidRPr="008E2962">
              <w:rPr>
                <w:color w:val="000000"/>
                <w:sz w:val="20"/>
                <w:szCs w:val="20"/>
              </w:rPr>
              <w:t>.;</w:t>
            </w:r>
          </w:p>
        </w:tc>
        <w:tc>
          <w:tcPr>
            <w:tcW w:w="2263" w:type="dxa"/>
          </w:tcPr>
          <w:p w:rsidR="00AC4EF0" w:rsidRPr="00AC4EF0" w:rsidRDefault="00AC4EF0" w:rsidP="009357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2" w:type="dxa"/>
          </w:tcPr>
          <w:p w:rsidR="00AC4EF0" w:rsidRPr="00AC4EF0" w:rsidRDefault="00AC4EF0" w:rsidP="009357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</w:tcPr>
          <w:p w:rsidR="00AC4EF0" w:rsidRPr="00AC4EF0" w:rsidRDefault="00AC4EF0" w:rsidP="009357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EF0" w:rsidRPr="00AC4EF0" w:rsidTr="00AC4EF0">
        <w:tc>
          <w:tcPr>
            <w:tcW w:w="2813" w:type="dxa"/>
          </w:tcPr>
          <w:p w:rsidR="00AC4EF0" w:rsidRPr="008E2962" w:rsidRDefault="00AC4EF0" w:rsidP="009357DD">
            <w:pPr>
              <w:pStyle w:val="NormaleWeb"/>
              <w:shd w:val="clear" w:color="auto" w:fill="FFFFFF"/>
              <w:spacing w:before="0" w:beforeAutospacing="0" w:after="150" w:afterAutospacing="0"/>
              <w:rPr>
                <w:color w:val="474747"/>
                <w:sz w:val="20"/>
                <w:szCs w:val="20"/>
              </w:rPr>
            </w:pPr>
            <w:r w:rsidRPr="008E2962">
              <w:rPr>
                <w:rStyle w:val="Enfasigrassetto"/>
                <w:color w:val="000000"/>
                <w:sz w:val="20"/>
                <w:szCs w:val="20"/>
              </w:rPr>
              <w:t>AVVERTE</w:t>
            </w:r>
          </w:p>
          <w:p w:rsidR="00AC4EF0" w:rsidRPr="008E2962" w:rsidRDefault="00AC4EF0" w:rsidP="009357DD">
            <w:pPr>
              <w:pStyle w:val="NormaleWeb"/>
              <w:shd w:val="clear" w:color="auto" w:fill="FFFFFF"/>
              <w:spacing w:before="0" w:beforeAutospacing="0" w:after="150" w:afterAutospacing="0"/>
              <w:rPr>
                <w:color w:val="474747"/>
                <w:sz w:val="20"/>
                <w:szCs w:val="20"/>
              </w:rPr>
            </w:pPr>
            <w:proofErr w:type="gramStart"/>
            <w:r w:rsidRPr="008E2962">
              <w:rPr>
                <w:color w:val="000000"/>
                <w:sz w:val="20"/>
                <w:szCs w:val="20"/>
              </w:rPr>
              <w:t>il</w:t>
            </w:r>
            <w:proofErr w:type="gramEnd"/>
            <w:r w:rsidRPr="008E2962">
              <w:rPr>
                <w:color w:val="000000"/>
                <w:sz w:val="20"/>
                <w:szCs w:val="20"/>
              </w:rPr>
              <w:t xml:space="preserve"> debitore ingiunto che ha diritto di proporre opposizione contro il presente decreto nel termine perentorio di quaranta giorni dalla notifica e che in mancanza il decreto diverrà definitivo.</w:t>
            </w:r>
          </w:p>
          <w:p w:rsidR="00AC4EF0" w:rsidRPr="008E2962" w:rsidRDefault="00AC4EF0" w:rsidP="009357DD">
            <w:pPr>
              <w:pStyle w:val="NormaleWeb"/>
              <w:shd w:val="clear" w:color="auto" w:fill="FFFFFF"/>
              <w:spacing w:before="0" w:beforeAutospacing="0" w:after="150" w:afterAutospacing="0"/>
              <w:rPr>
                <w:color w:val="474747"/>
                <w:sz w:val="20"/>
                <w:szCs w:val="20"/>
              </w:rPr>
            </w:pPr>
            <w:r w:rsidRPr="008E2962">
              <w:rPr>
                <w:color w:val="000000"/>
                <w:sz w:val="20"/>
                <w:szCs w:val="20"/>
              </w:rPr>
              <w:t xml:space="preserve">AUTORIZZA IN MANCANZA DEL DISPOSTO PAGAMENTO LA </w:t>
            </w:r>
            <w:r w:rsidRPr="008E2962">
              <w:rPr>
                <w:color w:val="000000"/>
                <w:sz w:val="20"/>
                <w:szCs w:val="20"/>
              </w:rPr>
              <w:lastRenderedPageBreak/>
              <w:t>PROVVISORIA ESECUZIONE DEL PRESENTE DECRETO</w:t>
            </w:r>
          </w:p>
          <w:p w:rsidR="00AC4EF0" w:rsidRPr="008E2962" w:rsidRDefault="00AC4EF0" w:rsidP="009357DD">
            <w:pPr>
              <w:pStyle w:val="NormaleWeb"/>
              <w:shd w:val="clear" w:color="auto" w:fill="FFFFFF"/>
              <w:spacing w:before="0" w:beforeAutospacing="0" w:after="150" w:afterAutospacing="0"/>
              <w:rPr>
                <w:color w:val="474747"/>
                <w:sz w:val="20"/>
                <w:szCs w:val="20"/>
              </w:rPr>
            </w:pPr>
            <w:r w:rsidRPr="008E2962">
              <w:rPr>
                <w:color w:val="000000"/>
                <w:sz w:val="20"/>
                <w:szCs w:val="20"/>
              </w:rPr>
              <w:t>Verona, 29 novembre 2019</w:t>
            </w:r>
          </w:p>
          <w:p w:rsidR="00AC4EF0" w:rsidRPr="008E2962" w:rsidRDefault="00AC4EF0" w:rsidP="009357DD">
            <w:pPr>
              <w:pStyle w:val="NormaleWeb"/>
              <w:shd w:val="clear" w:color="auto" w:fill="FFFFFF"/>
              <w:spacing w:before="0" w:beforeAutospacing="0" w:after="150" w:afterAutospacing="0"/>
              <w:rPr>
                <w:color w:val="474747"/>
                <w:sz w:val="20"/>
                <w:szCs w:val="20"/>
              </w:rPr>
            </w:pPr>
            <w:r w:rsidRPr="008E2962">
              <w:rPr>
                <w:color w:val="474747"/>
                <w:sz w:val="20"/>
                <w:szCs w:val="20"/>
              </w:rPr>
              <w:t> </w:t>
            </w:r>
          </w:p>
          <w:p w:rsidR="00AC4EF0" w:rsidRPr="00AC4EF0" w:rsidRDefault="00AC4EF0" w:rsidP="009357DD">
            <w:pPr>
              <w:pStyle w:val="NormaleWeb"/>
              <w:shd w:val="clear" w:color="auto" w:fill="FFFFFF"/>
              <w:spacing w:before="0" w:beforeAutospacing="0" w:after="150" w:afterAutospacing="0"/>
              <w:rPr>
                <w:color w:val="000000"/>
                <w:sz w:val="20"/>
                <w:szCs w:val="20"/>
              </w:rPr>
            </w:pPr>
            <w:r w:rsidRPr="008E2962">
              <w:rPr>
                <w:color w:val="000000"/>
                <w:sz w:val="20"/>
                <w:szCs w:val="20"/>
              </w:rPr>
              <w:t>Il Giudice</w:t>
            </w:r>
            <w:r w:rsidRPr="008E2962">
              <w:rPr>
                <w:color w:val="000000"/>
                <w:sz w:val="20"/>
                <w:szCs w:val="20"/>
              </w:rPr>
              <w:br/>
              <w:t>dott. Massimo Vaccari</w:t>
            </w:r>
          </w:p>
        </w:tc>
        <w:tc>
          <w:tcPr>
            <w:tcW w:w="2263" w:type="dxa"/>
          </w:tcPr>
          <w:p w:rsidR="00AC4EF0" w:rsidRPr="00AC4EF0" w:rsidRDefault="00AC4EF0" w:rsidP="009357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2" w:type="dxa"/>
          </w:tcPr>
          <w:p w:rsidR="00AC4EF0" w:rsidRPr="00AC4EF0" w:rsidRDefault="00AC4EF0" w:rsidP="009357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</w:tcPr>
          <w:p w:rsidR="00AC4EF0" w:rsidRPr="00AC4EF0" w:rsidRDefault="00AC4EF0" w:rsidP="009357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D567C" w:rsidRDefault="009D567C" w:rsidP="009357DD">
      <w:pPr>
        <w:rPr>
          <w:rFonts w:ascii="Times New Roman" w:hAnsi="Times New Roman" w:cs="Times New Roman"/>
          <w:sz w:val="20"/>
          <w:szCs w:val="20"/>
        </w:rPr>
      </w:pPr>
    </w:p>
    <w:p w:rsidR="00AC4EF0" w:rsidRPr="009357DD" w:rsidRDefault="00AC4EF0" w:rsidP="009357DD">
      <w:pPr>
        <w:pStyle w:val="NormaleWeb"/>
        <w:shd w:val="clear" w:color="auto" w:fill="FFFFFF"/>
        <w:spacing w:before="0" w:beforeAutospacing="0" w:after="150" w:afterAutospacing="0"/>
        <w:rPr>
          <w:color w:val="474747"/>
          <w:sz w:val="20"/>
          <w:szCs w:val="20"/>
          <w:lang w:val="fr-FR"/>
        </w:rPr>
      </w:pPr>
      <w:r w:rsidRPr="00AC4EF0">
        <w:rPr>
          <w:sz w:val="20"/>
          <w:szCs w:val="20"/>
          <w:lang w:val="fr-FR"/>
        </w:rPr>
        <w:t xml:space="preserve">Fonte: </w:t>
      </w:r>
      <w:hyperlink r:id="rId5" w:history="1">
        <w:r w:rsidRPr="00AC4EF0">
          <w:rPr>
            <w:rStyle w:val="Collegamentoipertestuale"/>
            <w:sz w:val="20"/>
            <w:szCs w:val="20"/>
            <w:lang w:val="fr-FR"/>
          </w:rPr>
          <w:t>https://www.finanzaefisco.com/decreto-ingiuntivo/</w:t>
        </w:r>
      </w:hyperlink>
      <w:bookmarkStart w:id="0" w:name="_GoBack"/>
      <w:bookmarkEnd w:id="0"/>
    </w:p>
    <w:sectPr w:rsidR="00AC4EF0" w:rsidRPr="009357D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EF0"/>
    <w:rsid w:val="009357DD"/>
    <w:rsid w:val="009D567C"/>
    <w:rsid w:val="00AC4EF0"/>
    <w:rsid w:val="00D70273"/>
    <w:rsid w:val="00FD7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C4EF0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C4E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AC4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AC4EF0"/>
    <w:rPr>
      <w:b/>
      <w:bCs/>
    </w:rPr>
  </w:style>
  <w:style w:type="character" w:styleId="Enfasicorsivo">
    <w:name w:val="Emphasis"/>
    <w:basedOn w:val="Carpredefinitoparagrafo"/>
    <w:uiPriority w:val="20"/>
    <w:qFormat/>
    <w:rsid w:val="00AC4EF0"/>
    <w:rPr>
      <w:i/>
      <w:iCs/>
    </w:rPr>
  </w:style>
  <w:style w:type="character" w:styleId="Collegamentoipertestuale">
    <w:name w:val="Hyperlink"/>
    <w:basedOn w:val="Carpredefinitoparagrafo"/>
    <w:uiPriority w:val="99"/>
    <w:unhideWhenUsed/>
    <w:rsid w:val="00AC4EF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C4EF0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C4E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AC4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AC4EF0"/>
    <w:rPr>
      <w:b/>
      <w:bCs/>
    </w:rPr>
  </w:style>
  <w:style w:type="character" w:styleId="Enfasicorsivo">
    <w:name w:val="Emphasis"/>
    <w:basedOn w:val="Carpredefinitoparagrafo"/>
    <w:uiPriority w:val="20"/>
    <w:qFormat/>
    <w:rsid w:val="00AC4EF0"/>
    <w:rPr>
      <w:i/>
      <w:iCs/>
    </w:rPr>
  </w:style>
  <w:style w:type="character" w:styleId="Collegamentoipertestuale">
    <w:name w:val="Hyperlink"/>
    <w:basedOn w:val="Carpredefinitoparagrafo"/>
    <w:uiPriority w:val="99"/>
    <w:unhideWhenUsed/>
    <w:rsid w:val="00AC4EF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finanzaefisco.com/decreto-ingiuntivo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725</Words>
  <Characters>4135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AG</cp:lastModifiedBy>
  <cp:revision>5</cp:revision>
  <dcterms:created xsi:type="dcterms:W3CDTF">2021-10-08T16:22:00Z</dcterms:created>
  <dcterms:modified xsi:type="dcterms:W3CDTF">2021-10-14T19:09:00Z</dcterms:modified>
</cp:coreProperties>
</file>