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17"/>
        <w:gridCol w:w="1762"/>
        <w:gridCol w:w="1867"/>
        <w:gridCol w:w="1708"/>
      </w:tblGrid>
      <w:tr w:rsidR="00AC4EF0" w:rsidRPr="00BA6F3C" w14:paraId="24F801B0" w14:textId="77777777" w:rsidTr="00A143B0">
        <w:tc>
          <w:tcPr>
            <w:tcW w:w="4517" w:type="dxa"/>
          </w:tcPr>
          <w:p w14:paraId="78D1709B" w14:textId="77777777" w:rsidR="00AC4EF0" w:rsidRPr="00BA6F3C" w:rsidRDefault="00AC4EF0" w:rsidP="00733A6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6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15D9E977" w14:textId="77777777" w:rsidR="00AC4EF0" w:rsidRPr="00BA6F3C" w:rsidRDefault="00AC4EF0" w:rsidP="00733A6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6F3C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1762" w:type="dxa"/>
          </w:tcPr>
          <w:p w14:paraId="63DE3725" w14:textId="77777777" w:rsidR="00AC4EF0" w:rsidRPr="00BA6F3C" w:rsidRDefault="00AC4EF0" w:rsidP="00733A6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6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1867" w:type="dxa"/>
          </w:tcPr>
          <w:p w14:paraId="5EF67A21" w14:textId="77777777" w:rsidR="00AC4EF0" w:rsidRPr="00BA6F3C" w:rsidRDefault="00AC4EF0" w:rsidP="00733A6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6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1708" w:type="dxa"/>
          </w:tcPr>
          <w:p w14:paraId="30B82F36" w14:textId="77777777" w:rsidR="00AC4EF0" w:rsidRPr="00BA6F3C" w:rsidRDefault="00AC4EF0" w:rsidP="00733A6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6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BA6F3C" w14:paraId="0E73CD6C" w14:textId="77777777" w:rsidTr="00A143B0">
        <w:tc>
          <w:tcPr>
            <w:tcW w:w="4517" w:type="dxa"/>
          </w:tcPr>
          <w:p w14:paraId="6928A475" w14:textId="77777777" w:rsidR="00CF414D" w:rsidRPr="00BA6F3C" w:rsidRDefault="00CF414D" w:rsidP="00733A62">
            <w:pPr>
              <w:pStyle w:val="NormaleWeb"/>
              <w:shd w:val="clear" w:color="auto" w:fill="FFFFFF"/>
              <w:spacing w:before="0" w:beforeAutospacing="0" w:after="150" w:afterAutospacing="0" w:line="360" w:lineRule="atLeast"/>
              <w:rPr>
                <w:color w:val="474747"/>
                <w:sz w:val="20"/>
                <w:szCs w:val="20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TRIBUNALE ORDINARIO DI VERONA</w:t>
            </w:r>
          </w:p>
          <w:p w14:paraId="23F81FC9" w14:textId="5739F9A4" w:rsidR="00AC4EF0" w:rsidRPr="00BA6F3C" w:rsidRDefault="00CF414D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DECRETO INGIUNTIVO TELEMATICO PROVVISORIAMENTE ESECUTIVO</w:t>
            </w:r>
          </w:p>
        </w:tc>
        <w:tc>
          <w:tcPr>
            <w:tcW w:w="1762" w:type="dxa"/>
          </w:tcPr>
          <w:p w14:paraId="00E82263" w14:textId="77777777" w:rsidR="00AC4EF0" w:rsidRPr="00733A62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47BE490" w14:textId="77777777" w:rsidR="00AC4EF0" w:rsidRPr="00733A62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FFC55C8" w14:textId="77777777" w:rsidR="00AC4EF0" w:rsidRPr="00733A62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5673AA93" w14:textId="77777777" w:rsidTr="00A143B0">
        <w:tc>
          <w:tcPr>
            <w:tcW w:w="4517" w:type="dxa"/>
          </w:tcPr>
          <w:p w14:paraId="0B9C7424" w14:textId="0368D8C8" w:rsidR="00AC4EF0" w:rsidRPr="00BA6F3C" w:rsidRDefault="00CF414D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  <w:highlight w:val="yellow"/>
              </w:rPr>
            </w:pPr>
            <w:r w:rsidRPr="00BA6F3C">
              <w:rPr>
                <w:color w:val="000000"/>
                <w:sz w:val="20"/>
                <w:szCs w:val="20"/>
              </w:rPr>
              <w:t xml:space="preserve">OGGETTO: PROCEDIMENTI SOMMARI – D’ingiunzione – Condizioni di ammissibilità – Prova scritta del diritto fatto valere dal creditore – Fatture elettroniche – Titolo idoneo ai fini dell’emissione del decreto – Configurabilità – Ragioni – Produzione dell’estratto autentico delle scritture contabili ex art. 634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– Necessità – Esclusione – Artt. 633 e 634 cod.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proc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>. civ – Articolo 1, comma 1, lettera </w:t>
            </w:r>
            <w:r w:rsidRPr="00BA6F3C">
              <w:rPr>
                <w:rStyle w:val="Enfasicorsivo"/>
                <w:color w:val="000000"/>
                <w:sz w:val="20"/>
                <w:szCs w:val="20"/>
              </w:rPr>
              <w:t>i),</w:t>
            </w:r>
            <w:r w:rsidRPr="00BA6F3C">
              <w:rPr>
                <w:color w:val="000000"/>
                <w:sz w:val="20"/>
                <w:szCs w:val="20"/>
              </w:rPr>
              <w:t> </w:t>
            </w:r>
            <w:r w:rsidRPr="00BA6F3C">
              <w:rPr>
                <w:rStyle w:val="Enfasicorsivo"/>
                <w:color w:val="000000"/>
                <w:sz w:val="20"/>
                <w:szCs w:val="20"/>
              </w:rPr>
              <w:t>quinquies</w:t>
            </w:r>
            <w:r w:rsidRPr="00BA6F3C">
              <w:rPr>
                <w:color w:val="000000"/>
                <w:sz w:val="20"/>
                <w:szCs w:val="20"/>
              </w:rPr>
              <w:t xml:space="preserve">, del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D.Lgs.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7 marzo 2005, n. 82 (CAD)</w:t>
            </w:r>
          </w:p>
        </w:tc>
        <w:tc>
          <w:tcPr>
            <w:tcW w:w="1762" w:type="dxa"/>
          </w:tcPr>
          <w:p w14:paraId="0C203CA2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BC2C521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A115843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19238F88" w14:textId="77777777" w:rsidTr="00A143B0">
        <w:tc>
          <w:tcPr>
            <w:tcW w:w="4517" w:type="dxa"/>
          </w:tcPr>
          <w:p w14:paraId="2E63B7FF" w14:textId="2DE870E0" w:rsidR="00AC4EF0" w:rsidRPr="00BA6F3C" w:rsidRDefault="00CF414D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R.G. 10221/2019</w:t>
            </w:r>
          </w:p>
        </w:tc>
        <w:tc>
          <w:tcPr>
            <w:tcW w:w="1762" w:type="dxa"/>
          </w:tcPr>
          <w:p w14:paraId="42968F5F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25071245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B54A3FB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0AB019A4" w14:textId="77777777" w:rsidTr="00A143B0">
        <w:tc>
          <w:tcPr>
            <w:tcW w:w="4517" w:type="dxa"/>
          </w:tcPr>
          <w:p w14:paraId="0446027E" w14:textId="6F40F9B2" w:rsidR="00AC4EF0" w:rsidRPr="00BA6F3C" w:rsidRDefault="00604CA5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Il Giudice dott. Massimo Vaccari,</w:t>
            </w:r>
          </w:p>
        </w:tc>
        <w:tc>
          <w:tcPr>
            <w:tcW w:w="1762" w:type="dxa"/>
          </w:tcPr>
          <w:p w14:paraId="0CDA4417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2C72CF31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B83646A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5562DBCC" w14:textId="77777777" w:rsidTr="00A143B0">
        <w:tc>
          <w:tcPr>
            <w:tcW w:w="4517" w:type="dxa"/>
          </w:tcPr>
          <w:p w14:paraId="20D467F8" w14:textId="74D7C532" w:rsidR="00AC4EF0" w:rsidRPr="00BA6F3C" w:rsidRDefault="00604CA5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letto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il ricorso per la concessione di decreto ingiuntivo depositato da A. S.P.A. – AGENZIA PER IL LAVORO (C.F. —)</w:t>
            </w:r>
          </w:p>
        </w:tc>
        <w:tc>
          <w:tcPr>
            <w:tcW w:w="1762" w:type="dxa"/>
          </w:tcPr>
          <w:p w14:paraId="0FA56233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6B4EE7B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62DC81C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3C5745D7" w14:textId="77777777" w:rsidTr="00A143B0">
        <w:tc>
          <w:tcPr>
            <w:tcW w:w="4517" w:type="dxa"/>
          </w:tcPr>
          <w:p w14:paraId="4C97043D" w14:textId="1985F3E8" w:rsidR="00AC4EF0" w:rsidRPr="00BA6F3C" w:rsidRDefault="00604CA5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rilevato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che dai documenti prodotti il credito risulta certo, liquido ed esigibile;</w:t>
            </w:r>
          </w:p>
        </w:tc>
        <w:tc>
          <w:tcPr>
            <w:tcW w:w="1762" w:type="dxa"/>
          </w:tcPr>
          <w:p w14:paraId="588A7DE9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40D471C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6DD37E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BA6F3C" w14:paraId="1F487A1E" w14:textId="77777777" w:rsidTr="00A143B0">
        <w:tc>
          <w:tcPr>
            <w:tcW w:w="4517" w:type="dxa"/>
          </w:tcPr>
          <w:p w14:paraId="7B1F245D" w14:textId="12118B96" w:rsidR="00AC4EF0" w:rsidRPr="00BA6F3C" w:rsidRDefault="006212C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considerato che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sussistono le condizioni previste dall’art. 633 e seguenti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atteso che il ricorrente ha dimesso quale prova scritta del credito ingiunto, relativo a prestazione di servizi, delle fatture elettroniche in formato “.</w:t>
            </w:r>
            <w:r w:rsidRPr="00BA6F3C">
              <w:rPr>
                <w:rStyle w:val="Enfasicorsivo"/>
                <w:color w:val="000000"/>
                <w:sz w:val="20"/>
                <w:szCs w:val="20"/>
              </w:rPr>
              <w:t>xml</w:t>
            </w:r>
            <w:r w:rsidRPr="00BA6F3C">
              <w:rPr>
                <w:color w:val="000000"/>
                <w:sz w:val="20"/>
                <w:szCs w:val="20"/>
              </w:rPr>
              <w:t xml:space="preserve">” ed esse devono ritenersi equipollenti all’estratto autentico delle scritture contabili previsto dall’art. 634, comma 2,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62" w:type="dxa"/>
          </w:tcPr>
          <w:p w14:paraId="74C30D20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79DB82E0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538CE1F" w14:textId="77777777" w:rsidR="00AC4EF0" w:rsidRPr="00BA6F3C" w:rsidRDefault="00AC4EF0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7BB64049" w14:textId="77777777" w:rsidTr="00A143B0">
        <w:tc>
          <w:tcPr>
            <w:tcW w:w="4517" w:type="dxa"/>
          </w:tcPr>
          <w:p w14:paraId="7677DF33" w14:textId="356DC75B" w:rsidR="00CF414D" w:rsidRPr="00BA6F3C" w:rsidRDefault="006212C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che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a tale conclusione si perviene considerando che, nel Provvedimento n. 89757/2018, l’Agenzia delle Entrate ha fornito dettagliate indicazioni in merito al funzionamento e alle caratteristiche tecniche del Sistema di Interscambio (SDI), che gestisce la fatturazione elettronica, precisando che:</w:t>
            </w:r>
          </w:p>
        </w:tc>
        <w:tc>
          <w:tcPr>
            <w:tcW w:w="1762" w:type="dxa"/>
          </w:tcPr>
          <w:p w14:paraId="6FBA8EB3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3016DE0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E10629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00A9774C" w14:textId="77777777" w:rsidTr="00A143B0">
        <w:tc>
          <w:tcPr>
            <w:tcW w:w="4517" w:type="dxa"/>
          </w:tcPr>
          <w:p w14:paraId="2539B594" w14:textId="616C4EAB" w:rsidR="00CF414D" w:rsidRPr="00BA6F3C" w:rsidRDefault="005A21F4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  <w:highlight w:val="yellow"/>
              </w:rPr>
              <w:t>«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La fattura elettronica è un file in formato XML (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eXtensible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Markup Language), non contenente macroistruzioni o codici eseguibili tali da attivare funzionalità che possano modificare gli atti, i fatti o i dati nello stesso rappresentati, conforme alle specifiche tecniche di cui all’allegato A del presente provvedimento» 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(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punto 1.3 del Provvedimento del Direttore dell’Agenzia delle entrate del 30 aprile 2018, 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prot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. n. 89757/2018), 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nonché che: «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Nel caso in cui il file della fattura sia firmato elettronicamente, il 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SdI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effettua un controllo sulla validità del certificato di firma. In caso di esito negativo del controllo, il file viene scartato e viene inviata la ricevuta di cui al punto 2.4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», 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cd. ricevuta di scarto (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n.d.r.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 xml:space="preserve"> punto 26 del Provvedimento </w:t>
            </w:r>
            <w:proofErr w:type="spellStart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prot</w:t>
            </w:r>
            <w:proofErr w:type="spellEnd"/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. n. 89757/2018).</w:t>
            </w:r>
          </w:p>
        </w:tc>
        <w:tc>
          <w:tcPr>
            <w:tcW w:w="1762" w:type="dxa"/>
          </w:tcPr>
          <w:p w14:paraId="31F7BA12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07AA0D13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1C43EC9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70A04569" w14:textId="77777777" w:rsidTr="00A143B0">
        <w:tc>
          <w:tcPr>
            <w:tcW w:w="4517" w:type="dxa"/>
          </w:tcPr>
          <w:p w14:paraId="14D44212" w14:textId="3F1868D8" w:rsidR="00CF414D" w:rsidRPr="00BA6F3C" w:rsidRDefault="005A21F4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  <w:highlight w:val="yellow"/>
              </w:rPr>
              <w:lastRenderedPageBreak/>
              <w:t>Che, ancora deve evidenziarsi che l’art. 1, comma 1, lettera 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l)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, 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quinquies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 (titolato: «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Definizioni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 xml:space="preserve">») del </w:t>
            </w:r>
            <w:proofErr w:type="spellStart"/>
            <w:r w:rsidRPr="00BA6F3C">
              <w:rPr>
                <w:color w:val="000000"/>
                <w:sz w:val="20"/>
                <w:szCs w:val="20"/>
                <w:highlight w:val="yellow"/>
              </w:rPr>
              <w:t>D.Lgs.</w:t>
            </w:r>
            <w:proofErr w:type="spellEnd"/>
            <w:r w:rsidRPr="00BA6F3C">
              <w:rPr>
                <w:color w:val="000000"/>
                <w:sz w:val="20"/>
                <w:szCs w:val="20"/>
                <w:highlight w:val="yellow"/>
              </w:rPr>
              <w:t xml:space="preserve"> n.82/2005 così come aggiornato e recante «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Codice dell’Amministrazione Digitale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» (CAD), stabilisce, testualmente, che: «1.</w:t>
            </w:r>
            <w:r w:rsidRPr="00BA6F3C">
              <w:rPr>
                <w:rStyle w:val="Enfasicorsivo"/>
                <w:color w:val="000000"/>
                <w:sz w:val="20"/>
                <w:szCs w:val="20"/>
                <w:highlight w:val="yellow"/>
              </w:rPr>
              <w:t> Ai fini del presente codice si intende per […] i-quinquies) duplicato informatico: il documento informatico ottenuto mediante la memorizzazione, sullo stesso dispositivo o su dispositivi diversi, della medesima sequenza di valori binari del documento originario</w:t>
            </w:r>
            <w:r w:rsidRPr="00BA6F3C">
              <w:rPr>
                <w:color w:val="000000"/>
                <w:sz w:val="20"/>
                <w:szCs w:val="20"/>
                <w:highlight w:val="yellow"/>
              </w:rPr>
              <w:t>»;</w:t>
            </w:r>
          </w:p>
        </w:tc>
        <w:tc>
          <w:tcPr>
            <w:tcW w:w="1762" w:type="dxa"/>
          </w:tcPr>
          <w:p w14:paraId="2DF7639D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06B544EC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21BEC3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09CE347E" w14:textId="77777777" w:rsidTr="00A143B0">
        <w:tc>
          <w:tcPr>
            <w:tcW w:w="4517" w:type="dxa"/>
          </w:tcPr>
          <w:p w14:paraId="01C2AD2F" w14:textId="5D7A96D1" w:rsidR="00CF414D" w:rsidRPr="00BA6F3C" w:rsidRDefault="00FE7134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che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>, pertanto, </w:t>
            </w:r>
            <w:r w:rsidRPr="00BA6F3C">
              <w:rPr>
                <w:rStyle w:val="Enfasigrassetto"/>
                <w:color w:val="000000"/>
                <w:sz w:val="20"/>
                <w:szCs w:val="20"/>
                <w:u w:val="single"/>
              </w:rPr>
              <w:t>il SDI genera documenti informatici autentici ed immodificabili</w:t>
            </w:r>
            <w:r w:rsidRPr="00BA6F3C">
              <w:rPr>
                <w:color w:val="000000"/>
                <w:sz w:val="20"/>
                <w:szCs w:val="20"/>
              </w:rPr>
              <w:t>, che non sono semplici “copie informatiche di documenti informatici” bensì “duplicati informatici”, assolutamente indistinguibili dai loro originali, potendo essere scaricati da “fonte/terzo qualificato”, come l’Agenzia delle Entrate;</w:t>
            </w:r>
          </w:p>
        </w:tc>
        <w:tc>
          <w:tcPr>
            <w:tcW w:w="1762" w:type="dxa"/>
          </w:tcPr>
          <w:p w14:paraId="247A989A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0E3D0C17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705850D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38F279AE" w14:textId="77777777" w:rsidTr="00A143B0">
        <w:tc>
          <w:tcPr>
            <w:tcW w:w="4517" w:type="dxa"/>
          </w:tcPr>
          <w:p w14:paraId="00FF0CB1" w14:textId="569AED43" w:rsidR="00CF414D" w:rsidRPr="00BA6F3C" w:rsidRDefault="006D6AD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che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proprio in ragione delle sopra descritte caratteristiche della fattura elettronica, l’art. 1, comma 3-</w:t>
            </w:r>
            <w:r w:rsidRPr="00BA6F3C">
              <w:rPr>
                <w:rStyle w:val="Enfasicorsivo"/>
                <w:color w:val="000000"/>
                <w:sz w:val="20"/>
                <w:szCs w:val="20"/>
              </w:rPr>
              <w:t>te</w:t>
            </w:r>
            <w:r w:rsidRPr="00BA6F3C">
              <w:rPr>
                <w:color w:val="000000"/>
                <w:sz w:val="20"/>
                <w:szCs w:val="20"/>
              </w:rPr>
              <w:t xml:space="preserve">r,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D.Lgs.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127/2015 prevede che i soggetti obbligati ad emetterle in via esclusiva mediante il Sistema di Interscambio (di cui al comma 3°) sono esonerati dall’obbligo di annotazione nei registri di cui agli artt. 23 e 25 D.P.R. 633/1972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cosicchè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per tali soggetti deve ritenersi che sia venuto meno anche l’obbligo di tenere i predetti registri, e di conseguenza gli obblighi previsti dall’art. 634 comma 2,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 xml:space="preserve"> ai fini dell’ottenimento del decreto ingiuntivo, poiché è illogico pensare che un’impresa debba tenere delle scritture contabili che non ha l’obbligo di utilizzare;</w:t>
            </w:r>
          </w:p>
        </w:tc>
        <w:tc>
          <w:tcPr>
            <w:tcW w:w="1762" w:type="dxa"/>
          </w:tcPr>
          <w:p w14:paraId="53969A92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3B4BCB0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7B79596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095F6AC2" w14:textId="77777777" w:rsidTr="00A143B0">
        <w:tc>
          <w:tcPr>
            <w:tcW w:w="4517" w:type="dxa"/>
          </w:tcPr>
          <w:p w14:paraId="5FEE2945" w14:textId="6CD339DD" w:rsidR="00CF414D" w:rsidRPr="00BA6F3C" w:rsidRDefault="006D6AD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considerato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ulteriormente che ricorrono i presupposti per ingiungere il pagamento senza dilazione </w:t>
            </w:r>
            <w:r w:rsidRPr="00BA6F3C">
              <w:rPr>
                <w:rStyle w:val="Enfasicorsivo"/>
                <w:color w:val="000000"/>
                <w:sz w:val="20"/>
                <w:szCs w:val="20"/>
              </w:rPr>
              <w:t>ex </w:t>
            </w:r>
            <w:r w:rsidRPr="00BA6F3C">
              <w:rPr>
                <w:color w:val="000000"/>
                <w:sz w:val="20"/>
                <w:szCs w:val="20"/>
              </w:rPr>
              <w:t xml:space="preserve">art. 642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c.p.c.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762" w:type="dxa"/>
          </w:tcPr>
          <w:p w14:paraId="4EB21681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211635EC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C1F5727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75D51742" w14:textId="77777777" w:rsidTr="00A143B0">
        <w:tc>
          <w:tcPr>
            <w:tcW w:w="4517" w:type="dxa"/>
          </w:tcPr>
          <w:p w14:paraId="271579B7" w14:textId="00F3F275" w:rsidR="00CF414D" w:rsidRPr="00BA6F3C" w:rsidRDefault="006D6AD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INGIUNGE A</w:t>
            </w:r>
          </w:p>
        </w:tc>
        <w:tc>
          <w:tcPr>
            <w:tcW w:w="1762" w:type="dxa"/>
          </w:tcPr>
          <w:p w14:paraId="7DEB2AC2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1D4470B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B64080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21E8906E" w14:textId="77777777" w:rsidTr="00A143B0">
        <w:tc>
          <w:tcPr>
            <w:tcW w:w="4517" w:type="dxa"/>
          </w:tcPr>
          <w:p w14:paraId="1CB8F209" w14:textId="19DE8186" w:rsidR="00CF414D" w:rsidRPr="00BA6F3C" w:rsidRDefault="006D6ADB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B S.R.L.</w:t>
            </w:r>
            <w:proofErr w:type="gramStart"/>
            <w:r w:rsidRPr="00BA6F3C">
              <w:rPr>
                <w:rStyle w:val="Enfasigrassetto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BA6F3C">
              <w:rPr>
                <w:rStyle w:val="Enfasigrassetto"/>
                <w:color w:val="000000"/>
                <w:sz w:val="20"/>
                <w:szCs w:val="20"/>
              </w:rPr>
              <w:t xml:space="preserve"> C.F. (—)</w:t>
            </w:r>
          </w:p>
        </w:tc>
        <w:tc>
          <w:tcPr>
            <w:tcW w:w="1762" w:type="dxa"/>
          </w:tcPr>
          <w:p w14:paraId="7E29FAF0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2B8CC7D1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DA75DD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14D" w:rsidRPr="00BA6F3C" w14:paraId="0E338FE5" w14:textId="77777777" w:rsidTr="00A143B0">
        <w:tc>
          <w:tcPr>
            <w:tcW w:w="4517" w:type="dxa"/>
          </w:tcPr>
          <w:p w14:paraId="6282DFAE" w14:textId="75824423" w:rsidR="00CF414D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proofErr w:type="gramStart"/>
            <w:r w:rsidRPr="00BA6F3C">
              <w:rPr>
                <w:color w:val="000000"/>
                <w:sz w:val="20"/>
                <w:szCs w:val="20"/>
              </w:rPr>
              <w:t>di</w:t>
            </w:r>
            <w:proofErr w:type="gramEnd"/>
            <w:r w:rsidRPr="00BA6F3C">
              <w:rPr>
                <w:color w:val="000000"/>
                <w:sz w:val="20"/>
                <w:szCs w:val="20"/>
              </w:rPr>
              <w:t xml:space="preserve"> pagare alla parte ricorrente per le causali di cui al ricorso, immediatamente:</w:t>
            </w:r>
          </w:p>
        </w:tc>
        <w:tc>
          <w:tcPr>
            <w:tcW w:w="1762" w:type="dxa"/>
          </w:tcPr>
          <w:p w14:paraId="51CC0C26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1BFAE3E6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305BD15" w14:textId="77777777" w:rsidR="00CF414D" w:rsidRPr="00BA6F3C" w:rsidRDefault="00CF414D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4AE0CDF5" w14:textId="77777777" w:rsidTr="00A143B0">
        <w:tc>
          <w:tcPr>
            <w:tcW w:w="4517" w:type="dxa"/>
          </w:tcPr>
          <w:p w14:paraId="03961F60" w14:textId="77777777" w:rsidR="00A143B0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 w:line="360" w:lineRule="atLeast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1. la somma di euro 24372,88;</w:t>
            </w:r>
          </w:p>
          <w:p w14:paraId="313E62A5" w14:textId="77777777" w:rsidR="00A143B0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 w:line="360" w:lineRule="atLeast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2. gli interessi come da domanda;</w:t>
            </w:r>
          </w:p>
          <w:p w14:paraId="2E18EC93" w14:textId="415B1355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 xml:space="preserve">3. le spese di questa procedura di ingiunzione, liquidate in € 145,50 per esborsi e in euro 828,00 per compenso, oltre rimborso I.V.A. (se dovuta) e </w:t>
            </w:r>
            <w:proofErr w:type="spellStart"/>
            <w:r w:rsidRPr="00BA6F3C">
              <w:rPr>
                <w:color w:val="000000"/>
                <w:sz w:val="20"/>
                <w:szCs w:val="20"/>
              </w:rPr>
              <w:t>c.p.a</w:t>
            </w:r>
            <w:proofErr w:type="spellEnd"/>
            <w:r w:rsidRPr="00BA6F3C">
              <w:rPr>
                <w:color w:val="000000"/>
                <w:sz w:val="20"/>
                <w:szCs w:val="20"/>
              </w:rPr>
              <w:t>.;</w:t>
            </w:r>
          </w:p>
        </w:tc>
        <w:tc>
          <w:tcPr>
            <w:tcW w:w="1762" w:type="dxa"/>
          </w:tcPr>
          <w:p w14:paraId="0D388B90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D4EC3B7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1B72A5B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6D29A689" w14:textId="77777777" w:rsidTr="00A143B0">
        <w:tc>
          <w:tcPr>
            <w:tcW w:w="4517" w:type="dxa"/>
          </w:tcPr>
          <w:p w14:paraId="3A3C2021" w14:textId="64672DCC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rStyle w:val="Enfasigrassetto"/>
                <w:color w:val="000000"/>
                <w:sz w:val="20"/>
                <w:szCs w:val="20"/>
              </w:rPr>
              <w:t>AVVERTE</w:t>
            </w:r>
          </w:p>
        </w:tc>
        <w:tc>
          <w:tcPr>
            <w:tcW w:w="1762" w:type="dxa"/>
          </w:tcPr>
          <w:p w14:paraId="2FA96BC1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119795D2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F5B506F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52AC0F59" w14:textId="77777777" w:rsidTr="00A143B0">
        <w:tc>
          <w:tcPr>
            <w:tcW w:w="4517" w:type="dxa"/>
          </w:tcPr>
          <w:p w14:paraId="631D206A" w14:textId="7877D611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il debitore ingiunto che ha diritto di proporre opposizione contro il presente decreto nel termine perentorio di quaranta giorni dalla notifica e che in mancanza il decreto diverrà definitivo.</w:t>
            </w:r>
          </w:p>
        </w:tc>
        <w:tc>
          <w:tcPr>
            <w:tcW w:w="1762" w:type="dxa"/>
          </w:tcPr>
          <w:p w14:paraId="6F717931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F434236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25003BD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296E0197" w14:textId="77777777" w:rsidTr="00A143B0">
        <w:tc>
          <w:tcPr>
            <w:tcW w:w="4517" w:type="dxa"/>
          </w:tcPr>
          <w:p w14:paraId="67E999BD" w14:textId="35D9BB0F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 xml:space="preserve">AUTORIZZA IN MANCANZA DEL DISPOSTO PAGAMENTO LA PROVVISORIA ESECUZIONE </w:t>
            </w:r>
            <w:r w:rsidRPr="00BA6F3C">
              <w:rPr>
                <w:color w:val="000000"/>
                <w:sz w:val="20"/>
                <w:szCs w:val="20"/>
              </w:rPr>
              <w:lastRenderedPageBreak/>
              <w:t>DEL PRESENTE DECRETO</w:t>
            </w:r>
          </w:p>
        </w:tc>
        <w:tc>
          <w:tcPr>
            <w:tcW w:w="1762" w:type="dxa"/>
          </w:tcPr>
          <w:p w14:paraId="07BBE46B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E36A0E8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0C7BB6D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70372E54" w14:textId="77777777" w:rsidTr="00A143B0">
        <w:tc>
          <w:tcPr>
            <w:tcW w:w="4517" w:type="dxa"/>
          </w:tcPr>
          <w:p w14:paraId="54FDC3B6" w14:textId="67E18E13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lastRenderedPageBreak/>
              <w:t>Verona, 29 novembre 2019</w:t>
            </w:r>
          </w:p>
        </w:tc>
        <w:tc>
          <w:tcPr>
            <w:tcW w:w="1762" w:type="dxa"/>
          </w:tcPr>
          <w:p w14:paraId="264A05B8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00CA2D34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34D0B2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6ADB" w:rsidRPr="00BA6F3C" w14:paraId="2548ECD6" w14:textId="77777777" w:rsidTr="00A143B0">
        <w:tc>
          <w:tcPr>
            <w:tcW w:w="4517" w:type="dxa"/>
          </w:tcPr>
          <w:p w14:paraId="67BFEA99" w14:textId="4897E6F1" w:rsidR="003A13EE" w:rsidRPr="00BA6F3C" w:rsidRDefault="003A13EE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Il Giudice</w:t>
            </w:r>
          </w:p>
          <w:p w14:paraId="2A04AA57" w14:textId="34C0E938" w:rsidR="006D6ADB" w:rsidRPr="00BA6F3C" w:rsidRDefault="00A143B0" w:rsidP="00733A62">
            <w:pPr>
              <w:pStyle w:val="NormaleWeb"/>
              <w:shd w:val="clear" w:color="auto" w:fill="FFFFFF"/>
              <w:spacing w:before="0" w:beforeAutospacing="0" w:after="150" w:afterAutospacing="0"/>
              <w:rPr>
                <w:color w:val="474747"/>
                <w:sz w:val="20"/>
                <w:szCs w:val="20"/>
              </w:rPr>
            </w:pPr>
            <w:r w:rsidRPr="00BA6F3C">
              <w:rPr>
                <w:color w:val="000000"/>
                <w:sz w:val="20"/>
                <w:szCs w:val="20"/>
              </w:rPr>
              <w:t>dott. Massimo Vaccari</w:t>
            </w:r>
          </w:p>
        </w:tc>
        <w:tc>
          <w:tcPr>
            <w:tcW w:w="1762" w:type="dxa"/>
          </w:tcPr>
          <w:p w14:paraId="10079005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</w:tcPr>
          <w:p w14:paraId="0D2CBD14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85E50A8" w14:textId="77777777" w:rsidR="006D6ADB" w:rsidRPr="00BA6F3C" w:rsidRDefault="006D6ADB" w:rsidP="00733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E51CAC" w14:textId="77777777" w:rsidR="009D567C" w:rsidRPr="00BA6F3C" w:rsidRDefault="009D567C" w:rsidP="00733A62">
      <w:pPr>
        <w:rPr>
          <w:rFonts w:ascii="Times New Roman" w:hAnsi="Times New Roman" w:cs="Times New Roman"/>
          <w:sz w:val="20"/>
          <w:szCs w:val="20"/>
        </w:rPr>
      </w:pPr>
    </w:p>
    <w:p w14:paraId="4489CE46" w14:textId="3822E7EB" w:rsidR="00AC4EF0" w:rsidRPr="00BA6F3C" w:rsidRDefault="00AC4EF0" w:rsidP="00733A62">
      <w:pPr>
        <w:pStyle w:val="NormaleWeb"/>
        <w:shd w:val="clear" w:color="auto" w:fill="FFFFFF"/>
        <w:spacing w:before="0" w:beforeAutospacing="0" w:after="150" w:afterAutospacing="0"/>
        <w:rPr>
          <w:color w:val="474747"/>
          <w:sz w:val="20"/>
          <w:szCs w:val="20"/>
          <w:lang w:val="fr-FR"/>
        </w:rPr>
      </w:pPr>
      <w:r w:rsidRPr="00BA6F3C">
        <w:rPr>
          <w:sz w:val="20"/>
          <w:szCs w:val="20"/>
          <w:lang w:val="fr-FR"/>
        </w:rPr>
        <w:t xml:space="preserve">Fonte: </w:t>
      </w:r>
      <w:hyperlink r:id="rId5" w:history="1">
        <w:r w:rsidR="00F62D55" w:rsidRPr="00A7629F">
          <w:rPr>
            <w:rStyle w:val="Collegamentoipertestuale"/>
            <w:sz w:val="20"/>
            <w:szCs w:val="20"/>
            <w:lang w:val="fr-FR"/>
          </w:rPr>
          <w:t>https://www.finanzaefisco.com/decreto-ingiuntivo/</w:t>
        </w:r>
      </w:hyperlink>
    </w:p>
    <w:p w14:paraId="75BB1A75" w14:textId="4832AE05" w:rsidR="00AC4EF0" w:rsidRPr="00BA6F3C" w:rsidRDefault="00733A62" w:rsidP="00733A62">
      <w:pPr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bookmarkStart w:id="0" w:name="_GoBack"/>
      <w:bookmarkEnd w:id="0"/>
    </w:p>
    <w:p w14:paraId="27F7FB0D" w14:textId="77777777" w:rsidR="00733A62" w:rsidRPr="00BA6F3C" w:rsidRDefault="00733A62">
      <w:pPr>
        <w:rPr>
          <w:rFonts w:ascii="Times New Roman" w:hAnsi="Times New Roman" w:cs="Times New Roman"/>
          <w:sz w:val="20"/>
          <w:szCs w:val="20"/>
          <w:lang w:val="fr-FR"/>
        </w:rPr>
      </w:pPr>
    </w:p>
    <w:sectPr w:rsidR="00733A62" w:rsidRPr="00BA6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1D147B"/>
    <w:rsid w:val="003A13EE"/>
    <w:rsid w:val="005A21F4"/>
    <w:rsid w:val="00604CA5"/>
    <w:rsid w:val="006212CB"/>
    <w:rsid w:val="006D6ADB"/>
    <w:rsid w:val="006F60CA"/>
    <w:rsid w:val="00733A62"/>
    <w:rsid w:val="00895C22"/>
    <w:rsid w:val="009205B3"/>
    <w:rsid w:val="009D567C"/>
    <w:rsid w:val="00A143B0"/>
    <w:rsid w:val="00A7629F"/>
    <w:rsid w:val="00AC4EF0"/>
    <w:rsid w:val="00BA6F3C"/>
    <w:rsid w:val="00CB1BE7"/>
    <w:rsid w:val="00CF414D"/>
    <w:rsid w:val="00D7768F"/>
    <w:rsid w:val="00E052D8"/>
    <w:rsid w:val="00F62D55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8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nanzaefisco.com/decreto-ingiuntiv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AG</cp:lastModifiedBy>
  <cp:revision>21</cp:revision>
  <dcterms:created xsi:type="dcterms:W3CDTF">2021-10-08T16:22:00Z</dcterms:created>
  <dcterms:modified xsi:type="dcterms:W3CDTF">2021-10-14T19:09:00Z</dcterms:modified>
</cp:coreProperties>
</file>